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9fad" w14:textId="e319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деятельности финансовых организаций</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31 декабря 2024 года № 96. Зарегистрировано в Министерстве юстиции Республики Казахстан 31 декабря 2024 года № 35612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регулирования деятельности финансовых организаций,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(далее – Перечень).</w:t>
      </w:r>
    </w:p>
    <w:bookmarkStart w:name="z6" w:id="1"/>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1"/>
    <w:bookmarkStart w:name="z7" w:id="2"/>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двенадцатого, тринадцатого, четырнадцатого и пятнадцатого пункта 1 Перечня, которые вводятся в действие с 1 апреля 2025 года.</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регулированию</w:t>
            </w:r>
          </w:p>
          <w:p>
            <w:pPr>
              <w:spacing w:after="20"/>
              <w:ind w:left="20"/>
              <w:jc w:val="both"/>
            </w:pP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31 декабря 2024 года № 96</w:t>
            </w:r>
          </w:p>
        </w:tc>
      </w:tr>
    </w:tbl>
    <w:bookmarkStart w:name="z15" w:id="7"/>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деятельности финансовых организаций, в которые вносятся изменения</w:t>
      </w:r>
    </w:p>
    <w:bookmarkEnd w:id="7"/>
    <w:p>
      <w:pPr>
        <w:spacing w:after="0"/>
        <w:ind w:left="0"/>
        <w:jc w:val="left"/>
      </w:pP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 (зарегистрировано в Реестре государственной регистрации нормативных правовых актов под № 19632)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97</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изложить в следующей редакции:</w:t>
      </w:r>
    </w:p>
    <w:bookmarkStart w:name="z19" w:id="8"/>
    <w:p>
      <w:pPr>
        <w:spacing w:after="0"/>
        <w:ind w:left="0"/>
        <w:jc w:val="both"/>
      </w:pPr>
      <w:r>
        <w:rPr>
          <w:rFonts w:ascii="Times New Roman"/>
          <w:b w:val="false"/>
          <w:i w:val="false"/>
          <w:color w:val="000000"/>
          <w:sz w:val="28"/>
        </w:rPr>
        <w:t>
      "97. Политика и процедуры управления риском ОД/ФТ включают, но, не ограничиваясь, следующее:</w:t>
      </w:r>
    </w:p>
    <w:bookmarkEnd w:id="8"/>
    <w:bookmarkStart w:name="z20" w:id="9"/>
    <w:p>
      <w:pPr>
        <w:spacing w:after="0"/>
        <w:ind w:left="0"/>
        <w:jc w:val="both"/>
      </w:pPr>
      <w:r>
        <w:rPr>
          <w:rFonts w:ascii="Times New Roman"/>
          <w:b w:val="false"/>
          <w:i w:val="false"/>
          <w:color w:val="000000"/>
          <w:sz w:val="28"/>
        </w:rPr>
        <w:t>
      1) разработку и исполнение внутренних документов, регламентирующих порядок управления риском ОД/ФТ, осуществления финансового мониторинга и внутреннего контроля в целях противодействия ОД/ФТ;</w:t>
      </w:r>
    </w:p>
    <w:bookmarkEnd w:id="9"/>
    <w:bookmarkStart w:name="z21" w:id="10"/>
    <w:p>
      <w:pPr>
        <w:spacing w:after="0"/>
        <w:ind w:left="0"/>
        <w:jc w:val="both"/>
      </w:pPr>
      <w:r>
        <w:rPr>
          <w:rFonts w:ascii="Times New Roman"/>
          <w:b w:val="false"/>
          <w:i w:val="false"/>
          <w:color w:val="000000"/>
          <w:sz w:val="28"/>
        </w:rPr>
        <w:t>
      2) методику оценки рисков ОД/ФТ в соответствии с правилами банка по внутреннему контролю для целей противодействия ОД/ФТ;</w:t>
      </w:r>
    </w:p>
    <w:bookmarkEnd w:id="10"/>
    <w:bookmarkStart w:name="z22" w:id="11"/>
    <w:p>
      <w:pPr>
        <w:spacing w:after="0"/>
        <w:ind w:left="0"/>
        <w:jc w:val="both"/>
      </w:pPr>
      <w:r>
        <w:rPr>
          <w:rFonts w:ascii="Times New Roman"/>
          <w:b w:val="false"/>
          <w:i w:val="false"/>
          <w:color w:val="000000"/>
          <w:sz w:val="28"/>
        </w:rPr>
        <w:t>
      3) внутренний порядок организации управления рисками банка в разрезе его структурных подразделений и (или) работников в части ОД/ФТ;</w:t>
      </w:r>
    </w:p>
    <w:bookmarkEnd w:id="11"/>
    <w:bookmarkStart w:name="z23" w:id="12"/>
    <w:p>
      <w:pPr>
        <w:spacing w:after="0"/>
        <w:ind w:left="0"/>
        <w:jc w:val="both"/>
      </w:pPr>
      <w:r>
        <w:rPr>
          <w:rFonts w:ascii="Times New Roman"/>
          <w:b w:val="false"/>
          <w:i w:val="false"/>
          <w:color w:val="000000"/>
          <w:sz w:val="28"/>
        </w:rPr>
        <w:t>
      4) наличие программы принятия и обслуживания клиентов (customer acceptance policy);</w:t>
      </w:r>
    </w:p>
    <w:bookmarkEnd w:id="12"/>
    <w:bookmarkStart w:name="z24" w:id="13"/>
    <w:p>
      <w:pPr>
        <w:spacing w:after="0"/>
        <w:ind w:left="0"/>
        <w:jc w:val="both"/>
      </w:pPr>
      <w:r>
        <w:rPr>
          <w:rFonts w:ascii="Times New Roman"/>
          <w:b w:val="false"/>
          <w:i w:val="false"/>
          <w:color w:val="000000"/>
          <w:sz w:val="28"/>
        </w:rPr>
        <w:t>
      5) банк при разработке и реализации процедур принятия решения о приеме клиента на обслуживание учитывает факторы риска, в том числе выявленные и размещенные на интернет-ресурсе уполномоченного органа.</w:t>
      </w:r>
    </w:p>
    <w:bookmarkEnd w:id="13"/>
    <w:bookmarkStart w:name="z25" w:id="14"/>
    <w:p>
      <w:pPr>
        <w:spacing w:after="0"/>
        <w:ind w:left="0"/>
        <w:jc w:val="both"/>
      </w:pPr>
      <w:r>
        <w:rPr>
          <w:rFonts w:ascii="Times New Roman"/>
          <w:b w:val="false"/>
          <w:i w:val="false"/>
          <w:color w:val="000000"/>
          <w:sz w:val="28"/>
        </w:rPr>
        <w:t>
      Внутренние процедуры и порядок отказа от установления и прекращения деловых отношений с клиентом разрабатываются с учетом факторов риска, размещенных на интернет-ресурсе уполномоченного органа. Информация о фактах отказа в установлении и прекращения деловых отношений направляется в уполномоченный орган ежеквартально, не позднее 5 (пятого) числа месяца следующего за отчетным кварталом;</w:t>
      </w:r>
    </w:p>
    <w:bookmarkEnd w:id="14"/>
    <w:bookmarkStart w:name="z26" w:id="15"/>
    <w:p>
      <w:pPr>
        <w:spacing w:after="0"/>
        <w:ind w:left="0"/>
        <w:jc w:val="both"/>
      </w:pPr>
      <w:r>
        <w:rPr>
          <w:rFonts w:ascii="Times New Roman"/>
          <w:b w:val="false"/>
          <w:i w:val="false"/>
          <w:color w:val="000000"/>
          <w:sz w:val="28"/>
        </w:rPr>
        <w:t>
      6) наличие автоматизированной информационной системы и процедур, которые позволяют выявлять операции, подлежащие финансовому мониторингу, а также позволяют своевременно направлять соответствующие сведения и информацию в уполномоченный орган по финансовому мониторингу.</w:t>
      </w:r>
    </w:p>
    <w:bookmarkEnd w:id="15"/>
    <w:bookmarkStart w:name="z27" w:id="16"/>
    <w:p>
      <w:pPr>
        <w:spacing w:after="0"/>
        <w:ind w:left="0"/>
        <w:jc w:val="both"/>
      </w:pPr>
      <w:r>
        <w:rPr>
          <w:rFonts w:ascii="Times New Roman"/>
          <w:b w:val="false"/>
          <w:i w:val="false"/>
          <w:color w:val="000000"/>
          <w:sz w:val="28"/>
        </w:rPr>
        <w:t>
      Автоматизированная информационная система и процедуры банка, указанные в подпункте 6) части первой настоящего пункта, дополнительно обеспечивают выявление операций, имеющие характеристики, соответствующие типологиям, схемам и способам легализации (отмывания) преступных доходов и финансирования терроризма, утвержденным государственным органом, осуществляющим финансовый мониторинг, связанных с:</w:t>
      </w:r>
    </w:p>
    <w:bookmarkEnd w:id="16"/>
    <w:bookmarkStart w:name="z28" w:id="17"/>
    <w:p>
      <w:pPr>
        <w:spacing w:after="0"/>
        <w:ind w:left="0"/>
        <w:jc w:val="both"/>
      </w:pPr>
      <w:r>
        <w:rPr>
          <w:rFonts w:ascii="Times New Roman"/>
          <w:b w:val="false"/>
          <w:i w:val="false"/>
          <w:color w:val="000000"/>
          <w:sz w:val="28"/>
        </w:rPr>
        <w:t>
      1) незаконным производством, оборотом и (или) транзитом наркотиков;</w:t>
      </w:r>
    </w:p>
    <w:bookmarkEnd w:id="17"/>
    <w:bookmarkStart w:name="z29" w:id="18"/>
    <w:p>
      <w:pPr>
        <w:spacing w:after="0"/>
        <w:ind w:left="0"/>
        <w:jc w:val="both"/>
      </w:pPr>
      <w:r>
        <w:rPr>
          <w:rFonts w:ascii="Times New Roman"/>
          <w:b w:val="false"/>
          <w:i w:val="false"/>
          <w:color w:val="000000"/>
          <w:sz w:val="28"/>
        </w:rPr>
        <w:t>
      2) осуществлением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18"/>
    <w:bookmarkStart w:name="z30" w:id="19"/>
    <w:p>
      <w:pPr>
        <w:spacing w:after="0"/>
        <w:ind w:left="0"/>
        <w:jc w:val="both"/>
      </w:pPr>
      <w:r>
        <w:rPr>
          <w:rFonts w:ascii="Times New Roman"/>
          <w:b w:val="false"/>
          <w:i w:val="false"/>
          <w:color w:val="000000"/>
          <w:sz w:val="28"/>
        </w:rPr>
        <w:t>
      3) осуществлением платежей и (или) переводов денег в пользу электронного казино и интернет-казино.</w:t>
      </w:r>
    </w:p>
    <w:bookmarkEnd w:id="19"/>
    <w:bookmarkStart w:name="z31" w:id="20"/>
    <w:p>
      <w:pPr>
        <w:spacing w:after="0"/>
        <w:ind w:left="0"/>
        <w:jc w:val="both"/>
      </w:pPr>
      <w:r>
        <w:rPr>
          <w:rFonts w:ascii="Times New Roman"/>
          <w:b w:val="false"/>
          <w:i w:val="false"/>
          <w:color w:val="000000"/>
          <w:sz w:val="28"/>
        </w:rPr>
        <w:t>
      98. Банк обеспечивает наличие системы внутреннего контроля, которая соответствует текущей рыночной ситуации, стратегии, объему активов, уровню сложности операций банка. Внутренний контроль – процесс, встроенный в повседневную деятельность, осуществляемую уполномоченными коллегиальными органами банка, структурными подразделениями и всеми работниками банка при исполнении своих обязанностей, и направленный на выполнение следующих целей:</w:t>
      </w:r>
    </w:p>
    <w:bookmarkEnd w:id="20"/>
    <w:bookmarkStart w:name="z32" w:id="21"/>
    <w:p>
      <w:pPr>
        <w:spacing w:after="0"/>
        <w:ind w:left="0"/>
        <w:jc w:val="both"/>
      </w:pPr>
      <w:r>
        <w:rPr>
          <w:rFonts w:ascii="Times New Roman"/>
          <w:b w:val="false"/>
          <w:i w:val="false"/>
          <w:color w:val="000000"/>
          <w:sz w:val="28"/>
        </w:rPr>
        <w:t>
      1) обеспечение эффективности деятельности банка, включая эффективность управления банковскими рисками, активами и пассивами, обеспечение сохранности активов;</w:t>
      </w:r>
    </w:p>
    <w:bookmarkEnd w:id="21"/>
    <w:bookmarkStart w:name="z33" w:id="22"/>
    <w:p>
      <w:pPr>
        <w:spacing w:after="0"/>
        <w:ind w:left="0"/>
        <w:jc w:val="both"/>
      </w:pPr>
      <w:r>
        <w:rPr>
          <w:rFonts w:ascii="Times New Roman"/>
          <w:b w:val="false"/>
          <w:i w:val="false"/>
          <w:color w:val="000000"/>
          <w:sz w:val="28"/>
        </w:rPr>
        <w:t>
      2) обеспечение полноты, достоверности и своевременности финансовой, регуляторной и другой отчетности для внутренних и внешних пользователей, а также информационной безопасности;</w:t>
      </w:r>
    </w:p>
    <w:bookmarkEnd w:id="22"/>
    <w:bookmarkStart w:name="z34" w:id="23"/>
    <w:p>
      <w:pPr>
        <w:spacing w:after="0"/>
        <w:ind w:left="0"/>
        <w:jc w:val="both"/>
      </w:pPr>
      <w:r>
        <w:rPr>
          <w:rFonts w:ascii="Times New Roman"/>
          <w:b w:val="false"/>
          <w:i w:val="false"/>
          <w:color w:val="000000"/>
          <w:sz w:val="28"/>
        </w:rPr>
        <w:t>
      3) обеспечение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w:t>
      </w:r>
    </w:p>
    <w:bookmarkEnd w:id="23"/>
    <w:bookmarkStart w:name="z35" w:id="24"/>
    <w:p>
      <w:pPr>
        <w:spacing w:after="0"/>
        <w:ind w:left="0"/>
        <w:jc w:val="both"/>
      </w:pPr>
      <w:r>
        <w:rPr>
          <w:rFonts w:ascii="Times New Roman"/>
          <w:b w:val="false"/>
          <w:i w:val="false"/>
          <w:color w:val="000000"/>
          <w:sz w:val="28"/>
        </w:rPr>
        <w:t>
      4) недопущение вовлечения банка и его работников, клиентов банка:</w:t>
      </w:r>
    </w:p>
    <w:bookmarkEnd w:id="24"/>
    <w:bookmarkStart w:name="z36" w:id="25"/>
    <w:p>
      <w:pPr>
        <w:spacing w:after="0"/>
        <w:ind w:left="0"/>
        <w:jc w:val="both"/>
      </w:pPr>
      <w:r>
        <w:rPr>
          <w:rFonts w:ascii="Times New Roman"/>
          <w:b w:val="false"/>
          <w:i w:val="false"/>
          <w:color w:val="000000"/>
          <w:sz w:val="28"/>
        </w:rPr>
        <w:t>
      в осуществление противоправной деятельности, в том числе мошенничества, обмана, ОД/ФТ, незаконного производства, оборота и (или) транзита наркотиков;</w:t>
      </w:r>
    </w:p>
    <w:bookmarkEnd w:id="25"/>
    <w:bookmarkStart w:name="z37" w:id="26"/>
    <w:p>
      <w:pPr>
        <w:spacing w:after="0"/>
        <w:ind w:left="0"/>
        <w:jc w:val="both"/>
      </w:pPr>
      <w:r>
        <w:rPr>
          <w:rFonts w:ascii="Times New Roman"/>
          <w:b w:val="false"/>
          <w:i w:val="false"/>
          <w:color w:val="000000"/>
          <w:sz w:val="28"/>
        </w:rPr>
        <w:t>
      в осуществление операций, связанных с проведением операций, имеющих высокий риск ОД/ФТ;</w:t>
      </w:r>
    </w:p>
    <w:bookmarkEnd w:id="26"/>
    <w:bookmarkStart w:name="z38" w:id="27"/>
    <w:p>
      <w:pPr>
        <w:spacing w:after="0"/>
        <w:ind w:left="0"/>
        <w:jc w:val="both"/>
      </w:pPr>
      <w:r>
        <w:rPr>
          <w:rFonts w:ascii="Times New Roman"/>
          <w:b w:val="false"/>
          <w:i w:val="false"/>
          <w:color w:val="000000"/>
          <w:sz w:val="28"/>
        </w:rPr>
        <w:t>
      в осуществление операций, связанных с дальнейшим приобретением необеспеченных цифровых активов на биржах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27"/>
    <w:bookmarkStart w:name="z39" w:id="28"/>
    <w:p>
      <w:pPr>
        <w:spacing w:after="0"/>
        <w:ind w:left="0"/>
        <w:jc w:val="both"/>
      </w:pPr>
      <w:r>
        <w:rPr>
          <w:rFonts w:ascii="Times New Roman"/>
          <w:b w:val="false"/>
          <w:i w:val="false"/>
          <w:color w:val="000000"/>
          <w:sz w:val="28"/>
        </w:rPr>
        <w:t>
      в осуществление платежей и (или) переводов денег в пользу электронного казино и интернет-казино;</w:t>
      </w:r>
    </w:p>
    <w:bookmarkEnd w:id="28"/>
    <w:bookmarkStart w:name="z40" w:id="29"/>
    <w:p>
      <w:pPr>
        <w:spacing w:after="0"/>
        <w:ind w:left="0"/>
        <w:jc w:val="both"/>
      </w:pPr>
      <w:r>
        <w:rPr>
          <w:rFonts w:ascii="Times New Roman"/>
          <w:b w:val="false"/>
          <w:i w:val="false"/>
          <w:color w:val="000000"/>
          <w:sz w:val="28"/>
        </w:rPr>
        <w:t>
      в осуществление платежей и (или) переводов денег физическими лицами, не достигшими возраста двадцати одного года, в пользу организатора игорного бизнеса.</w:t>
      </w:r>
    </w:p>
    <w:bookmarkEnd w:id="29"/>
    <w:bookmarkStart w:name="z41" w:id="30"/>
    <w:p>
      <w:pPr>
        <w:spacing w:after="0"/>
        <w:ind w:left="0"/>
        <w:jc w:val="both"/>
      </w:pPr>
      <w:r>
        <w:rPr>
          <w:rFonts w:ascii="Times New Roman"/>
          <w:b w:val="false"/>
          <w:i w:val="false"/>
          <w:color w:val="000000"/>
          <w:sz w:val="28"/>
        </w:rPr>
        <w:t>
      Банк осуществляет оценку риска ОД/ФТ в случае наличия подозрений о том, что деловые отношения используются клиентом в целях незаконного производства, оборота и (или) транзита наркотиков, а также в отношении клиентов, являющихся:</w:t>
      </w:r>
    </w:p>
    <w:bookmarkEnd w:id="30"/>
    <w:bookmarkStart w:name="z42" w:id="31"/>
    <w:p>
      <w:pPr>
        <w:spacing w:after="0"/>
        <w:ind w:left="0"/>
        <w:jc w:val="both"/>
      </w:pPr>
      <w:r>
        <w:rPr>
          <w:rFonts w:ascii="Times New Roman"/>
          <w:b w:val="false"/>
          <w:i w:val="false"/>
          <w:color w:val="000000"/>
          <w:sz w:val="28"/>
        </w:rPr>
        <w:t>
      1) держателями более пяти платежных карточек, выпущенных одним банком, за исключением дополнительных платежных карточек, выпущенных на имя детей, а также кредитных карточек, по которым осуществляются операции исключительно по выдаче и погашению банковских займов;</w:t>
      </w:r>
    </w:p>
    <w:bookmarkEnd w:id="31"/>
    <w:bookmarkStart w:name="z43" w:id="32"/>
    <w:p>
      <w:pPr>
        <w:spacing w:after="0"/>
        <w:ind w:left="0"/>
        <w:jc w:val="both"/>
      </w:pPr>
      <w:r>
        <w:rPr>
          <w:rFonts w:ascii="Times New Roman"/>
          <w:b w:val="false"/>
          <w:i w:val="false"/>
          <w:color w:val="000000"/>
          <w:sz w:val="28"/>
        </w:rPr>
        <w:t>
      2) держателями платежных карточек, выпущенных тремя банками более трех платежных карточек каждым банком на одного клиента (при наличии у банка таких сведений), за исключением дополнительных платежных карточек, выпущенных на имя детей, а также кредитных карточек, по которым осуществляются операции исключительно по выдаче и погашению банковских займов;</w:t>
      </w:r>
    </w:p>
    <w:bookmarkEnd w:id="32"/>
    <w:bookmarkStart w:name="z44" w:id="33"/>
    <w:p>
      <w:pPr>
        <w:spacing w:after="0"/>
        <w:ind w:left="0"/>
        <w:jc w:val="both"/>
      </w:pPr>
      <w:r>
        <w:rPr>
          <w:rFonts w:ascii="Times New Roman"/>
          <w:b w:val="false"/>
          <w:i w:val="false"/>
          <w:color w:val="000000"/>
          <w:sz w:val="28"/>
        </w:rPr>
        <w:t>
      3) резидентами стран с высоким риском ОД/ФТ на основе фактора незаконного производства, оборота и (или) транзита наркотиков, за исключением стран Евразийского экономического союза;</w:t>
      </w:r>
    </w:p>
    <w:bookmarkEnd w:id="33"/>
    <w:bookmarkStart w:name="z45" w:id="34"/>
    <w:p>
      <w:pPr>
        <w:spacing w:after="0"/>
        <w:ind w:left="0"/>
        <w:jc w:val="both"/>
      </w:pPr>
      <w:r>
        <w:rPr>
          <w:rFonts w:ascii="Times New Roman"/>
          <w:b w:val="false"/>
          <w:i w:val="false"/>
          <w:color w:val="000000"/>
          <w:sz w:val="28"/>
        </w:rPr>
        <w:t>
      4) вовлеченными в осуществление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34"/>
    <w:bookmarkStart w:name="z46" w:id="35"/>
    <w:p>
      <w:pPr>
        <w:spacing w:after="0"/>
        <w:ind w:left="0"/>
        <w:jc w:val="both"/>
      </w:pPr>
      <w:r>
        <w:rPr>
          <w:rFonts w:ascii="Times New Roman"/>
          <w:b w:val="false"/>
          <w:i w:val="false"/>
          <w:color w:val="000000"/>
          <w:sz w:val="28"/>
        </w:rPr>
        <w:t>
      В отношении клиентов, указанных в части второй настоящего пункта, банк присваивает высокий уровень риска ОД/ФТ, применяет усиленные меры надлежащей проверки таких клиентов и отвечает за:</w:t>
      </w:r>
    </w:p>
    <w:bookmarkEnd w:id="35"/>
    <w:bookmarkStart w:name="z47" w:id="36"/>
    <w:p>
      <w:pPr>
        <w:spacing w:after="0"/>
        <w:ind w:left="0"/>
        <w:jc w:val="both"/>
      </w:pPr>
      <w:r>
        <w:rPr>
          <w:rFonts w:ascii="Times New Roman"/>
          <w:b w:val="false"/>
          <w:i w:val="false"/>
          <w:color w:val="000000"/>
          <w:sz w:val="28"/>
        </w:rPr>
        <w:t>
      обеспечение проведения проверки источника происхождения средств клиентов банка;</w:t>
      </w:r>
    </w:p>
    <w:bookmarkEnd w:id="36"/>
    <w:bookmarkStart w:name="z48" w:id="37"/>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bookmarkEnd w:id="37"/>
    <w:bookmarkStart w:name="z49" w:id="38"/>
    <w:p>
      <w:pPr>
        <w:spacing w:after="0"/>
        <w:ind w:left="0"/>
        <w:jc w:val="both"/>
      </w:pPr>
      <w:r>
        <w:rPr>
          <w:rFonts w:ascii="Times New Roman"/>
          <w:b w:val="false"/>
          <w:i w:val="false"/>
          <w:color w:val="000000"/>
          <w:sz w:val="28"/>
        </w:rPr>
        <w:t>
      осуществление мониторинга и изучение операций с деньгами клиентов банка;</w:t>
      </w:r>
    </w:p>
    <w:bookmarkEnd w:id="38"/>
    <w:bookmarkStart w:name="z50" w:id="39"/>
    <w:p>
      <w:pPr>
        <w:spacing w:after="0"/>
        <w:ind w:left="0"/>
        <w:jc w:val="both"/>
      </w:pPr>
      <w:r>
        <w:rPr>
          <w:rFonts w:ascii="Times New Roman"/>
          <w:b w:val="false"/>
          <w:i w:val="false"/>
          <w:color w:val="000000"/>
          <w:sz w:val="28"/>
        </w:rPr>
        <w:t>
      принятие мер в отношении нерезидентов Республики Казахстан по установлению цели и характера деловых отношений путем затребования документов, подтверждающих обоснованность нахождения в Республике Казахстан (трудового договора, договора обучения, вида на жительство иностранца в Республике Казахстан и других документов);</w:t>
      </w:r>
    </w:p>
    <w:bookmarkEnd w:id="39"/>
    <w:bookmarkStart w:name="z51" w:id="40"/>
    <w:p>
      <w:pPr>
        <w:spacing w:after="0"/>
        <w:ind w:left="0"/>
        <w:jc w:val="both"/>
      </w:pPr>
      <w:r>
        <w:rPr>
          <w:rFonts w:ascii="Times New Roman"/>
          <w:b w:val="false"/>
          <w:i w:val="false"/>
          <w:color w:val="000000"/>
          <w:sz w:val="28"/>
        </w:rPr>
        <w:t>
      обновление сведений о клиенте (его представителе) в соответствии с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40"/>
    <w:bookmarkStart w:name="z52" w:id="41"/>
    <w:p>
      <w:pPr>
        <w:spacing w:after="0"/>
        <w:ind w:left="0"/>
        <w:jc w:val="both"/>
      </w:pPr>
      <w:r>
        <w:rPr>
          <w:rFonts w:ascii="Times New Roman"/>
          <w:b w:val="false"/>
          <w:i w:val="false"/>
          <w:color w:val="000000"/>
          <w:sz w:val="28"/>
        </w:rPr>
        <w:t>
      направление информации в уполномоченный орган по финансовому мониторингу по клиентам банка;</w:t>
      </w:r>
    </w:p>
    <w:bookmarkEnd w:id="41"/>
    <w:bookmarkStart w:name="z53" w:id="42"/>
    <w:p>
      <w:pPr>
        <w:spacing w:after="0"/>
        <w:ind w:left="0"/>
        <w:jc w:val="both"/>
      </w:pPr>
      <w:r>
        <w:rPr>
          <w:rFonts w:ascii="Times New Roman"/>
          <w:b w:val="false"/>
          <w:i w:val="false"/>
          <w:color w:val="000000"/>
          <w:sz w:val="28"/>
        </w:rPr>
        <w:t>
      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42"/>
    <w:bookmarkStart w:name="z54" w:id="43"/>
    <w:p>
      <w:pPr>
        <w:spacing w:after="0"/>
        <w:ind w:left="0"/>
        <w:jc w:val="both"/>
      </w:pPr>
      <w:r>
        <w:rPr>
          <w:rFonts w:ascii="Times New Roman"/>
          <w:b w:val="false"/>
          <w:i w:val="false"/>
          <w:color w:val="000000"/>
          <w:sz w:val="28"/>
        </w:rPr>
        <w:t>
      Банк осуществляет выявление и блокирование платежей и переводов денег в пользу бирж цифровых активов, не являющихся участниками Международного финансового центра "Астана", перечень которых формируется уполномоченным органом.</w:t>
      </w:r>
    </w:p>
    <w:bookmarkEnd w:id="43"/>
    <w:bookmarkStart w:name="z55" w:id="44"/>
    <w:p>
      <w:pPr>
        <w:spacing w:after="0"/>
        <w:ind w:left="0"/>
        <w:jc w:val="both"/>
      </w:pPr>
      <w:r>
        <w:rPr>
          <w:rFonts w:ascii="Times New Roman"/>
          <w:b w:val="false"/>
          <w:i w:val="false"/>
          <w:color w:val="000000"/>
          <w:sz w:val="28"/>
        </w:rPr>
        <w:t>
      В отношении участника Международного финансового центра "Астана", оказывающего услуги по управлению платформой цифровых активов, банк осуществляет оценку риска ОД/ФТ. При присвоении участнику Международного финансового центра "Астана", оказывающему услуги по управлению платформой цифровых активов, высокого уровня риска ОД/ФТ банк применяет усиленные меры надлежащей проверки клиентов, а также при проведении банковских операций отвечает за:</w:t>
      </w:r>
    </w:p>
    <w:bookmarkEnd w:id="44"/>
    <w:bookmarkStart w:name="z56" w:id="45"/>
    <w:p>
      <w:pPr>
        <w:spacing w:after="0"/>
        <w:ind w:left="0"/>
        <w:jc w:val="both"/>
      </w:pPr>
      <w:r>
        <w:rPr>
          <w:rFonts w:ascii="Times New Roman"/>
          <w:b w:val="false"/>
          <w:i w:val="false"/>
          <w:color w:val="000000"/>
          <w:sz w:val="28"/>
        </w:rPr>
        <w:t>
      проведение оценки степени подверженности услуг (продуктов), предоставляемых участнику Международного финансового центра "Астана", оказывающему услуги по управлению платформой цифровых активов, рискам ОД/ФТ;</w:t>
      </w:r>
    </w:p>
    <w:bookmarkEnd w:id="45"/>
    <w:bookmarkStart w:name="z57" w:id="46"/>
    <w:p>
      <w:pPr>
        <w:spacing w:after="0"/>
        <w:ind w:left="0"/>
        <w:jc w:val="both"/>
      </w:pPr>
      <w:r>
        <w:rPr>
          <w:rFonts w:ascii="Times New Roman"/>
          <w:b w:val="false"/>
          <w:i w:val="false"/>
          <w:color w:val="000000"/>
          <w:sz w:val="28"/>
        </w:rPr>
        <w:t>
      проведение процедур по надлежащей проверке при установлении деловых отношений, которые включают помимо мер по надлежащей проверке, предусмотренных для клиентов, дополнительно меры по получению и фиксированию сведений о репутации и характере деятельности участника Международного финансового центра "Астана", оказывающего услуги по управлению платформой цифровых активов, применении в отношении него мер со стороны Комитета Международного финансового центра "Астана" по регулированию финансовых услуг;</w:t>
      </w:r>
    </w:p>
    <w:bookmarkEnd w:id="46"/>
    <w:bookmarkStart w:name="z58" w:id="47"/>
    <w:p>
      <w:pPr>
        <w:spacing w:after="0"/>
        <w:ind w:left="0"/>
        <w:jc w:val="both"/>
      </w:pPr>
      <w:r>
        <w:rPr>
          <w:rFonts w:ascii="Times New Roman"/>
          <w:b w:val="false"/>
          <w:i w:val="false"/>
          <w:color w:val="000000"/>
          <w:sz w:val="28"/>
        </w:rPr>
        <w:t>
      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выявления банком фактов использования участником Международного финансового центра "Астана", оказывающим услуги по управлению платформой цифровых активов, счетов, находящихся в банке-ширме;</w:t>
      </w:r>
    </w:p>
    <w:bookmarkEnd w:id="47"/>
    <w:bookmarkStart w:name="z59" w:id="48"/>
    <w:p>
      <w:pPr>
        <w:spacing w:after="0"/>
        <w:ind w:left="0"/>
        <w:jc w:val="both"/>
      </w:pPr>
      <w:r>
        <w:rPr>
          <w:rFonts w:ascii="Times New Roman"/>
          <w:b w:val="false"/>
          <w:i w:val="false"/>
          <w:color w:val="000000"/>
          <w:sz w:val="28"/>
        </w:rPr>
        <w:t>
      отказ в установлении или прекращение деловых отношений с участником Международного финансового центра "Астана", оказывающим услуги по управлению платформой цифровых активов, учредители которого зарегистрированы на территории иностранного государства:</w:t>
      </w:r>
    </w:p>
    <w:bookmarkEnd w:id="48"/>
    <w:bookmarkStart w:name="z60" w:id="49"/>
    <w:p>
      <w:pPr>
        <w:spacing w:after="0"/>
        <w:ind w:left="0"/>
        <w:jc w:val="both"/>
      </w:pPr>
      <w:r>
        <w:rPr>
          <w:rFonts w:ascii="Times New Roman"/>
          <w:b w:val="false"/>
          <w:i w:val="false"/>
          <w:color w:val="000000"/>
          <w:sz w:val="28"/>
        </w:rPr>
        <w:t>
      включенного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(ФAТФ), составляемый уполномоченным органом по финансовому мониторингу;</w:t>
      </w:r>
    </w:p>
    <w:bookmarkEnd w:id="49"/>
    <w:bookmarkStart w:name="z61" w:id="50"/>
    <w:p>
      <w:pPr>
        <w:spacing w:after="0"/>
        <w:ind w:left="0"/>
        <w:jc w:val="both"/>
      </w:pPr>
      <w:r>
        <w:rPr>
          <w:rFonts w:ascii="Times New Roman"/>
          <w:b w:val="false"/>
          <w:i w:val="false"/>
          <w:color w:val="000000"/>
          <w:sz w:val="28"/>
        </w:rPr>
        <w:t>
      в отношении которого применяются международные санкции в соответствии с резолюциями Совета Безопасности Организации Объединенных Наций;</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включенного в перечень офшорных зон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bookmarkStart w:name="z63" w:id="51"/>
    <w:p>
      <w:pPr>
        <w:spacing w:after="0"/>
        <w:ind w:left="0"/>
        <w:jc w:val="both"/>
      </w:pPr>
      <w:r>
        <w:rPr>
          <w:rFonts w:ascii="Times New Roman"/>
          <w:b w:val="false"/>
          <w:i w:val="false"/>
          <w:color w:val="000000"/>
          <w:sz w:val="28"/>
        </w:rPr>
        <w:t>
      определенного банком в качестве представляющего высокий риск ОД/ФТ на основе других факторов (сведений об уровне коррупции, незаконного производства, оборота и (или) транзита наркотиков, сведений о поддержке международного терроризма и другое).</w:t>
      </w:r>
    </w:p>
    <w:bookmarkEnd w:id="51"/>
    <w:bookmarkStart w:name="z64" w:id="52"/>
    <w:p>
      <w:pPr>
        <w:spacing w:after="0"/>
        <w:ind w:left="0"/>
        <w:jc w:val="both"/>
      </w:pPr>
      <w:r>
        <w:rPr>
          <w:rFonts w:ascii="Times New Roman"/>
          <w:b w:val="false"/>
          <w:i w:val="false"/>
          <w:color w:val="000000"/>
          <w:sz w:val="28"/>
        </w:rPr>
        <w:t>
      осуществление мониторинга и изучение операций с деньгами участника Международного финансового центра "Астана", оказывающего услуги по управлению платформой цифровых активов, а также предотвращение незаконного вывода средств за рубеж, в том числе в офшорные зоны;</w:t>
      </w:r>
    </w:p>
    <w:bookmarkEnd w:id="52"/>
    <w:bookmarkStart w:name="z65" w:id="53"/>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 с деньгами и (или) иным имуществом (далее – подозрительные операции);</w:t>
      </w:r>
    </w:p>
    <w:bookmarkEnd w:id="53"/>
    <w:bookmarkStart w:name="z66" w:id="54"/>
    <w:p>
      <w:pPr>
        <w:spacing w:after="0"/>
        <w:ind w:left="0"/>
        <w:jc w:val="both"/>
      </w:pPr>
      <w:r>
        <w:rPr>
          <w:rFonts w:ascii="Times New Roman"/>
          <w:b w:val="false"/>
          <w:i w:val="false"/>
          <w:color w:val="000000"/>
          <w:sz w:val="28"/>
        </w:rPr>
        <w:t>
      прекращение деловых отношений с участником Международного финансового центра "Астана", оказывающим услуги по управлению платформой цифровых активов,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54"/>
    <w:bookmarkStart w:name="z67" w:id="55"/>
    <w:p>
      <w:pPr>
        <w:spacing w:after="0"/>
        <w:ind w:left="0"/>
        <w:jc w:val="both"/>
      </w:pPr>
      <w:r>
        <w:rPr>
          <w:rFonts w:ascii="Times New Roman"/>
          <w:b w:val="false"/>
          <w:i w:val="false"/>
          <w:color w:val="000000"/>
          <w:sz w:val="28"/>
        </w:rPr>
        <w:t>
      обеспечение проведения проверки источника происхождения средств участника Международного финансового центра "Астана", оказывающего услуги по управлению платформой цифровых активов, при пополнении банковского счета;</w:t>
      </w:r>
    </w:p>
    <w:bookmarkEnd w:id="55"/>
    <w:bookmarkStart w:name="z68" w:id="56"/>
    <w:p>
      <w:pPr>
        <w:spacing w:after="0"/>
        <w:ind w:left="0"/>
        <w:jc w:val="both"/>
      </w:pPr>
      <w:r>
        <w:rPr>
          <w:rFonts w:ascii="Times New Roman"/>
          <w:b w:val="false"/>
          <w:i w:val="false"/>
          <w:color w:val="000000"/>
          <w:sz w:val="28"/>
        </w:rPr>
        <w:t>
      обеспечение хранения записи транзакций по операциям с деньгами и предоставление информации в уполномоченный орган по финансовому мониторингу;</w:t>
      </w:r>
    </w:p>
    <w:bookmarkEnd w:id="56"/>
    <w:bookmarkStart w:name="z69" w:id="57"/>
    <w:p>
      <w:pPr>
        <w:spacing w:after="0"/>
        <w:ind w:left="0"/>
        <w:jc w:val="both"/>
      </w:pPr>
      <w:r>
        <w:rPr>
          <w:rFonts w:ascii="Times New Roman"/>
          <w:b w:val="false"/>
          <w:i w:val="false"/>
          <w:color w:val="000000"/>
          <w:sz w:val="28"/>
        </w:rPr>
        <w:t>
      обеспечение хранения не менее пяти лет документов, данных и (или) сведений, полученных и собранных в рамках надлежащей проверки участника Международного финансового центра "Астана", оказывающего услуги по управлению платформой цифровых активов;</w:t>
      </w:r>
    </w:p>
    <w:bookmarkEnd w:id="57"/>
    <w:bookmarkStart w:name="z70" w:id="58"/>
    <w:p>
      <w:pPr>
        <w:spacing w:after="0"/>
        <w:ind w:left="0"/>
        <w:jc w:val="both"/>
      </w:pPr>
      <w:r>
        <w:rPr>
          <w:rFonts w:ascii="Times New Roman"/>
          <w:b w:val="false"/>
          <w:i w:val="false"/>
          <w:color w:val="000000"/>
          <w:sz w:val="28"/>
        </w:rPr>
        <w:t>
      осуществление проверки принадлежности и (или) причастности участника Международного финансового центра "Астана", оказывающего услуги по управлению платформой цифровых активов, и его бенефициарного собственника к публичному должностному лицу, его супруге (супругу) и близким родственникам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bookmarkEnd w:id="58"/>
    <w:bookmarkStart w:name="z71" w:id="59"/>
    <w:p>
      <w:pPr>
        <w:spacing w:after="0"/>
        <w:ind w:left="0"/>
        <w:jc w:val="both"/>
      </w:pPr>
      <w:r>
        <w:rPr>
          <w:rFonts w:ascii="Times New Roman"/>
          <w:b w:val="false"/>
          <w:i w:val="false"/>
          <w:color w:val="000000"/>
          <w:sz w:val="28"/>
        </w:rPr>
        <w:t>
      представление в уполномоченный орган по финансовому мониторингу необходимой информации при выявлении подозрительных операций в сроки, установленные требованиями законодательства Республики Казахстан о противодействии легализации (отмыванию) доходов, полученных преступным путем, или финансированию терроризма.</w:t>
      </w:r>
    </w:p>
    <w:bookmarkEnd w:id="59"/>
    <w:bookmarkStart w:name="z72" w:id="60"/>
    <w:p>
      <w:pPr>
        <w:spacing w:after="0"/>
        <w:ind w:left="0"/>
        <w:jc w:val="both"/>
      </w:pPr>
      <w:r>
        <w:rPr>
          <w:rFonts w:ascii="Times New Roman"/>
          <w:b w:val="false"/>
          <w:i w:val="false"/>
          <w:color w:val="000000"/>
          <w:sz w:val="28"/>
        </w:rPr>
        <w:t>
      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не превышающей 1 000 (одну тысячу) долларов США в эквиваленте по рыночному курсу обмена валют на дату проведения банковской операции, применяет упрощенные меры надлежащей проверки клиентов, за исключением случаев совершения клиентами подозрительных операций.</w:t>
      </w:r>
    </w:p>
    <w:bookmarkEnd w:id="60"/>
    <w:bookmarkStart w:name="z73" w:id="61"/>
    <w:p>
      <w:pPr>
        <w:spacing w:after="0"/>
        <w:ind w:left="0"/>
        <w:jc w:val="both"/>
      </w:pPr>
      <w:r>
        <w:rPr>
          <w:rFonts w:ascii="Times New Roman"/>
          <w:b w:val="false"/>
          <w:i w:val="false"/>
          <w:color w:val="000000"/>
          <w:sz w:val="28"/>
        </w:rPr>
        <w:t>
      В отношении клиентов банка, осуществляющих операции с участником Международного финансового центра "Астана", оказывающим услуги по управлению платформой цифровых активов, банк при проведении разовых банковских операций в сумме, равной или превышающей 1 000 (одну тысячу) долларов США в эквиваленте по рыночному курсу обмена валют на дату проведения банковской операции, применяет усиленные меры надлежащей проверки клиентов и отвечает за:</w:t>
      </w:r>
    </w:p>
    <w:bookmarkEnd w:id="61"/>
    <w:bookmarkStart w:name="z74" w:id="62"/>
    <w:p>
      <w:pPr>
        <w:spacing w:after="0"/>
        <w:ind w:left="0"/>
        <w:jc w:val="both"/>
      </w:pPr>
      <w:r>
        <w:rPr>
          <w:rFonts w:ascii="Times New Roman"/>
          <w:b w:val="false"/>
          <w:i w:val="false"/>
          <w:color w:val="000000"/>
          <w:sz w:val="28"/>
        </w:rPr>
        <w:t>
      обеспечение проведения проверки источника происхождения средств клиентов банка при осуществлении перевода в пользу участника Международного финансового центра "Астана", оказывающего услуги по управлению платформой цифровых активов;</w:t>
      </w:r>
    </w:p>
    <w:bookmarkEnd w:id="62"/>
    <w:bookmarkStart w:name="z75" w:id="63"/>
    <w:p>
      <w:pPr>
        <w:spacing w:after="0"/>
        <w:ind w:left="0"/>
        <w:jc w:val="both"/>
      </w:pPr>
      <w:r>
        <w:rPr>
          <w:rFonts w:ascii="Times New Roman"/>
          <w:b w:val="false"/>
          <w:i w:val="false"/>
          <w:color w:val="000000"/>
          <w:sz w:val="28"/>
        </w:rPr>
        <w:t>
      принятие мер,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 при выявлении подозрительных операций;</w:t>
      </w:r>
    </w:p>
    <w:bookmarkEnd w:id="63"/>
    <w:bookmarkStart w:name="z76" w:id="64"/>
    <w:p>
      <w:pPr>
        <w:spacing w:after="0"/>
        <w:ind w:left="0"/>
        <w:jc w:val="both"/>
      </w:pPr>
      <w:r>
        <w:rPr>
          <w:rFonts w:ascii="Times New Roman"/>
          <w:b w:val="false"/>
          <w:i w:val="false"/>
          <w:color w:val="000000"/>
          <w:sz w:val="28"/>
        </w:rPr>
        <w:t>
      осуществление мониторинга и изучение операций с деньгами клиентов банка, а также предотвращение незаконного вывода средств за рубеж, в том числе в офшорные зоны;</w:t>
      </w:r>
    </w:p>
    <w:bookmarkEnd w:id="64"/>
    <w:bookmarkStart w:name="z77" w:id="65"/>
    <w:p>
      <w:pPr>
        <w:spacing w:after="0"/>
        <w:ind w:left="0"/>
        <w:jc w:val="both"/>
      </w:pPr>
      <w:r>
        <w:rPr>
          <w:rFonts w:ascii="Times New Roman"/>
          <w:b w:val="false"/>
          <w:i w:val="false"/>
          <w:color w:val="000000"/>
          <w:sz w:val="28"/>
        </w:rPr>
        <w:t>
      прекращение деловых отношений с клиентами банка в случаях, установленных требованиями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65"/>
    <w:bookmarkStart w:name="z78" w:id="66"/>
    <w:p>
      <w:pPr>
        <w:spacing w:after="0"/>
        <w:ind w:left="0"/>
        <w:jc w:val="both"/>
      </w:pPr>
      <w:r>
        <w:rPr>
          <w:rFonts w:ascii="Times New Roman"/>
          <w:b w:val="false"/>
          <w:i w:val="false"/>
          <w:color w:val="000000"/>
          <w:sz w:val="28"/>
        </w:rPr>
        <w:t>
      При открытии банковского счета для обслуживания операций клиентов участник Международного финансового центра "Астана", оказывающий услуги по управлению платформой цифровых активов, представляет следующие документы:</w:t>
      </w:r>
    </w:p>
    <w:bookmarkEnd w:id="66"/>
    <w:bookmarkStart w:name="z79" w:id="67"/>
    <w:p>
      <w:pPr>
        <w:spacing w:after="0"/>
        <w:ind w:left="0"/>
        <w:jc w:val="both"/>
      </w:pPr>
      <w:r>
        <w:rPr>
          <w:rFonts w:ascii="Times New Roman"/>
          <w:b w:val="false"/>
          <w:i w:val="false"/>
          <w:color w:val="000000"/>
          <w:sz w:val="28"/>
        </w:rPr>
        <w:t>
      лицензия участника Международного финансового центра "Астана", оказывающего услуги по управлению платформой цифровых активов, на оказание финансовой услуги по управлению платформой цифровых активов, выданная Комитетом Международного финансового центра "Астана" по регулированию финансовых услуг;</w:t>
      </w:r>
    </w:p>
    <w:bookmarkEnd w:id="67"/>
    <w:bookmarkStart w:name="z80" w:id="68"/>
    <w:p>
      <w:pPr>
        <w:spacing w:after="0"/>
        <w:ind w:left="0"/>
        <w:jc w:val="both"/>
      </w:pPr>
      <w:r>
        <w:rPr>
          <w:rFonts w:ascii="Times New Roman"/>
          <w:b w:val="false"/>
          <w:i w:val="false"/>
          <w:color w:val="000000"/>
          <w:sz w:val="28"/>
        </w:rPr>
        <w:t>
      выписка из реестра, подтверждающая регистрацию в качестве участника Международного финансового центра "Астана", оказывающего услуги по управлению платформой цифровых активов;</w:t>
      </w:r>
    </w:p>
    <w:bookmarkEnd w:id="68"/>
    <w:bookmarkStart w:name="z81" w:id="69"/>
    <w:p>
      <w:pPr>
        <w:spacing w:after="0"/>
        <w:ind w:left="0"/>
        <w:jc w:val="both"/>
      </w:pPr>
      <w:r>
        <w:rPr>
          <w:rFonts w:ascii="Times New Roman"/>
          <w:b w:val="false"/>
          <w:i w:val="false"/>
          <w:color w:val="000000"/>
          <w:sz w:val="28"/>
        </w:rPr>
        <w:t>
      бизнес-план и бизнес-модель участника Международного финансового центра "Астана", оказывающего услуги по управлению платформой цифровых активов;</w:t>
      </w:r>
    </w:p>
    <w:bookmarkEnd w:id="69"/>
    <w:bookmarkStart w:name="z82" w:id="70"/>
    <w:p>
      <w:pPr>
        <w:spacing w:after="0"/>
        <w:ind w:left="0"/>
        <w:jc w:val="both"/>
      </w:pPr>
      <w:r>
        <w:rPr>
          <w:rFonts w:ascii="Times New Roman"/>
          <w:b w:val="false"/>
          <w:i w:val="false"/>
          <w:color w:val="000000"/>
          <w:sz w:val="28"/>
        </w:rPr>
        <w:t>
      политика по противодействию ОД/ФТ участника Международного финансового центра "Астана", оказывающего услуги по управлению платформой цифровых активов;</w:t>
      </w:r>
    </w:p>
    <w:bookmarkEnd w:id="70"/>
    <w:bookmarkStart w:name="z83" w:id="71"/>
    <w:p>
      <w:pPr>
        <w:spacing w:after="0"/>
        <w:ind w:left="0"/>
        <w:jc w:val="both"/>
      </w:pPr>
      <w:r>
        <w:rPr>
          <w:rFonts w:ascii="Times New Roman"/>
          <w:b w:val="false"/>
          <w:i w:val="false"/>
          <w:color w:val="000000"/>
          <w:sz w:val="28"/>
        </w:rPr>
        <w:t>
      приказ о назначении руководителя участника Международного финансового центра "Астана", оказывающего услуги по управлению платформой цифровых активов;</w:t>
      </w:r>
    </w:p>
    <w:bookmarkEnd w:id="71"/>
    <w:bookmarkStart w:name="z84" w:id="72"/>
    <w:p>
      <w:pPr>
        <w:spacing w:after="0"/>
        <w:ind w:left="0"/>
        <w:jc w:val="both"/>
      </w:pPr>
      <w:r>
        <w:rPr>
          <w:rFonts w:ascii="Times New Roman"/>
          <w:b w:val="false"/>
          <w:i w:val="false"/>
          <w:color w:val="000000"/>
          <w:sz w:val="28"/>
        </w:rPr>
        <w:t>
      информация об исполнительном органе участника Международного финансового центра "Астана", оказывающего услуги по управлению платформой цифровых активов, и его руководителе (документ, удостоверяющий его личность, подтверждение данных о месте жительства, рекомендательные письма, сведения об отсутствии неснятой или непогашенной судимости).</w:t>
      </w:r>
    </w:p>
    <w:bookmarkEnd w:id="72"/>
    <w:bookmarkStart w:name="z85" w:id="73"/>
    <w:p>
      <w:pPr>
        <w:spacing w:after="0"/>
        <w:ind w:left="0"/>
        <w:jc w:val="both"/>
      </w:pPr>
      <w:r>
        <w:rPr>
          <w:rFonts w:ascii="Times New Roman"/>
          <w:b w:val="false"/>
          <w:i w:val="false"/>
          <w:color w:val="000000"/>
          <w:sz w:val="28"/>
        </w:rPr>
        <w:t>
      Эффективный внутренний контроль обеспечивается путем формирования надлежащего управленческого контроля и культуры контроля (контрольной среды).</w:t>
      </w:r>
    </w:p>
    <w:bookmarkEnd w:id="73"/>
    <w:bookmarkStart w:name="z86" w:id="74"/>
    <w:p>
      <w:pPr>
        <w:spacing w:after="0"/>
        <w:ind w:left="0"/>
        <w:jc w:val="both"/>
      </w:pPr>
      <w:r>
        <w:rPr>
          <w:rFonts w:ascii="Times New Roman"/>
          <w:b w:val="false"/>
          <w:i w:val="false"/>
          <w:color w:val="000000"/>
          <w:sz w:val="28"/>
        </w:rPr>
        <w:t>
      Управленческий контроль и культура контроля (контрольная среда) характеризуют общее отношение, осведомленность и практические действия совета директоров банка и правления банка, направленные на создание и эффективное функционирование системы внутреннего контроля.".</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22 марта 2020 года № 18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 (зарегистрировано в Реестре государственной регистрации нормативных правовых актов под № 20160)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банков второго уровня, филиалов банков-нерезидентов Республики Казахстан и Национального оператора почты,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90" w:id="75"/>
    <w:p>
      <w:pPr>
        <w:spacing w:after="0"/>
        <w:ind w:left="0"/>
        <w:jc w:val="both"/>
      </w:pPr>
      <w:r>
        <w:rPr>
          <w:rFonts w:ascii="Times New Roman"/>
          <w:b w:val="false"/>
          <w:i w:val="false"/>
          <w:color w:val="000000"/>
          <w:sz w:val="28"/>
        </w:rPr>
        <w:t>
      "15. Типы клиентов, чей статус и (или) чья деятельность повышают риск ОД/ФТ, включают, но не ограничиваются:</w:t>
      </w:r>
    </w:p>
    <w:bookmarkEnd w:id="75"/>
    <w:bookmarkStart w:name="z91" w:id="76"/>
    <w:p>
      <w:pPr>
        <w:spacing w:after="0"/>
        <w:ind w:left="0"/>
        <w:jc w:val="both"/>
      </w:pPr>
      <w:r>
        <w:rPr>
          <w:rFonts w:ascii="Times New Roman"/>
          <w:b w:val="false"/>
          <w:i w:val="false"/>
          <w:color w:val="000000"/>
          <w:sz w:val="28"/>
        </w:rPr>
        <w:t>
      1) публичные должностные лица, их супруги и близкие родственники;</w:t>
      </w:r>
    </w:p>
    <w:bookmarkEnd w:id="76"/>
    <w:bookmarkStart w:name="z92" w:id="77"/>
    <w:p>
      <w:pPr>
        <w:spacing w:after="0"/>
        <w:ind w:left="0"/>
        <w:jc w:val="both"/>
      </w:pPr>
      <w:r>
        <w:rPr>
          <w:rFonts w:ascii="Times New Roman"/>
          <w:b w:val="false"/>
          <w:i w:val="false"/>
          <w:color w:val="000000"/>
          <w:sz w:val="28"/>
        </w:rPr>
        <w:t>
      2) иностранные финансовые организации;</w:t>
      </w:r>
    </w:p>
    <w:bookmarkEnd w:id="77"/>
    <w:bookmarkStart w:name="z93" w:id="78"/>
    <w:p>
      <w:pPr>
        <w:spacing w:after="0"/>
        <w:ind w:left="0"/>
        <w:jc w:val="both"/>
      </w:pPr>
      <w:r>
        <w:rPr>
          <w:rFonts w:ascii="Times New Roman"/>
          <w:b w:val="false"/>
          <w:i w:val="false"/>
          <w:color w:val="000000"/>
          <w:sz w:val="28"/>
        </w:rPr>
        <w:t>
      3) юридические лица и индивидуальные предприниматели, деятельность которых связана с интенсивным оборотом наличных денег, в том числе:</w:t>
      </w:r>
    </w:p>
    <w:bookmarkEnd w:id="78"/>
    <w:bookmarkStart w:name="z94" w:id="79"/>
    <w:p>
      <w:pPr>
        <w:spacing w:after="0"/>
        <w:ind w:left="0"/>
        <w:jc w:val="both"/>
      </w:pPr>
      <w:r>
        <w:rPr>
          <w:rFonts w:ascii="Times New Roman"/>
          <w:b w:val="false"/>
          <w:i w:val="false"/>
          <w:color w:val="000000"/>
          <w:sz w:val="28"/>
        </w:rPr>
        <w:t>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79"/>
    <w:bookmarkStart w:name="z95" w:id="80"/>
    <w:p>
      <w:pPr>
        <w:spacing w:after="0"/>
        <w:ind w:left="0"/>
        <w:jc w:val="both"/>
      </w:pPr>
      <w:r>
        <w:rPr>
          <w:rFonts w:ascii="Times New Roman"/>
          <w:b w:val="false"/>
          <w:i w:val="false"/>
          <w:color w:val="000000"/>
          <w:sz w:val="28"/>
        </w:rPr>
        <w:t>
      юридические лица, исключительной деятельностью которых является инкассация банкнот, монет и ценностей на основании лицензии Национального Банка Республики Казахстан (за исключением дочерних организаций банков, которые соблюдают требования по ПОД/ФТ, установленные банком);</w:t>
      </w:r>
    </w:p>
    <w:bookmarkEnd w:id="80"/>
    <w:bookmarkStart w:name="z96" w:id="81"/>
    <w:p>
      <w:pPr>
        <w:spacing w:after="0"/>
        <w:ind w:left="0"/>
        <w:jc w:val="both"/>
      </w:pPr>
      <w:r>
        <w:rPr>
          <w:rFonts w:ascii="Times New Roman"/>
          <w:b w:val="false"/>
          <w:i w:val="false"/>
          <w:color w:val="000000"/>
          <w:sz w:val="28"/>
        </w:rPr>
        <w:t>
      организации, осуществляющие микрофинансовую деятельность;</w:t>
      </w:r>
    </w:p>
    <w:bookmarkEnd w:id="81"/>
    <w:bookmarkStart w:name="z97" w:id="82"/>
    <w:p>
      <w:pPr>
        <w:spacing w:after="0"/>
        <w:ind w:left="0"/>
        <w:jc w:val="both"/>
      </w:pPr>
      <w:r>
        <w:rPr>
          <w:rFonts w:ascii="Times New Roman"/>
          <w:b w:val="false"/>
          <w:i w:val="false"/>
          <w:color w:val="000000"/>
          <w:sz w:val="28"/>
        </w:rPr>
        <w:t>
      агенты (поверенные) поставщиков услуг (кроме финансовых), осуществляющие прием от потребителей наличных денег, в том числе через электронные терминалы;</w:t>
      </w:r>
    </w:p>
    <w:bookmarkEnd w:id="82"/>
    <w:bookmarkStart w:name="z98" w:id="83"/>
    <w:p>
      <w:pPr>
        <w:spacing w:after="0"/>
        <w:ind w:left="0"/>
        <w:jc w:val="both"/>
      </w:pPr>
      <w:r>
        <w:rPr>
          <w:rFonts w:ascii="Times New Roman"/>
          <w:b w:val="false"/>
          <w:i w:val="false"/>
          <w:color w:val="000000"/>
          <w:sz w:val="28"/>
        </w:rPr>
        <w:t>
      организаторы игорного бизнеса, а также лица, предоставляющие услуги либо получающие доходы от деятельности онлайн-казино за пределами Республики Казахстан;</w:t>
      </w:r>
    </w:p>
    <w:bookmarkEnd w:id="83"/>
    <w:bookmarkStart w:name="z99" w:id="84"/>
    <w:p>
      <w:pPr>
        <w:spacing w:after="0"/>
        <w:ind w:left="0"/>
        <w:jc w:val="both"/>
      </w:pPr>
      <w:r>
        <w:rPr>
          <w:rFonts w:ascii="Times New Roman"/>
          <w:b w:val="false"/>
          <w:i w:val="false"/>
          <w:color w:val="000000"/>
          <w:sz w:val="28"/>
        </w:rPr>
        <w:t>
      лица, предоставляющие туристские услуги, а также услуги, связанные с интенсивным оборотом наличных денег;</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адвокаты и другие независимые специалисты по юридическим вопросам в случаях, когда они от имени или по поручению клиента участвуют в операциях с деньгами и (или) имуществом в отношении деятельности, указанной в </w:t>
      </w:r>
      <w:r>
        <w:rPr>
          <w:rFonts w:ascii="Times New Roman"/>
          <w:b w:val="false"/>
          <w:i w:val="false"/>
          <w:color w:val="000000"/>
          <w:sz w:val="28"/>
        </w:rPr>
        <w:t>подпункте 7)</w:t>
      </w:r>
      <w:r>
        <w:rPr>
          <w:rFonts w:ascii="Times New Roman"/>
          <w:b w:val="false"/>
          <w:i w:val="false"/>
          <w:color w:val="000000"/>
          <w:sz w:val="28"/>
        </w:rPr>
        <w:t xml:space="preserve"> пункта 1 статьи 3 Закона о ПОД/ФТ, профессиональные участники рынка ценных бумаг (за исключением дочерних организаций банков второго уровня, которые соблюдают требования по ПОД/ФТ, установленные банками второго уровня);</w:t>
      </w:r>
    </w:p>
    <w:bookmarkStart w:name="z101" w:id="85"/>
    <w:p>
      <w:pPr>
        <w:spacing w:after="0"/>
        <w:ind w:left="0"/>
        <w:jc w:val="both"/>
      </w:pPr>
      <w:r>
        <w:rPr>
          <w:rFonts w:ascii="Times New Roman"/>
          <w:b w:val="false"/>
          <w:i w:val="false"/>
          <w:color w:val="000000"/>
          <w:sz w:val="28"/>
        </w:rPr>
        <w:t>
      5) страховые (перестраховочные) организации, страховые брокеры, осуществляющие деятельность по отрасли "страхование жизни" (за исключением дочерних организаций банка, которые соблюдают требования по ПОД/ФТ, установленные банком);</w:t>
      </w:r>
    </w:p>
    <w:bookmarkEnd w:id="85"/>
    <w:bookmarkStart w:name="z102" w:id="86"/>
    <w:p>
      <w:pPr>
        <w:spacing w:after="0"/>
        <w:ind w:left="0"/>
        <w:jc w:val="both"/>
      </w:pPr>
      <w:r>
        <w:rPr>
          <w:rFonts w:ascii="Times New Roman"/>
          <w:b w:val="false"/>
          <w:i w:val="false"/>
          <w:color w:val="000000"/>
          <w:sz w:val="28"/>
        </w:rPr>
        <w:t>
      6) лица, предоставляющие услуги по финансовому лизингу (за исключением дочерних организаций банков второго уровня, которые соблюдают требования по ПОД/ФТ, установленные банками второго уровня);</w:t>
      </w:r>
    </w:p>
    <w:bookmarkEnd w:id="86"/>
    <w:bookmarkStart w:name="z103" w:id="87"/>
    <w:p>
      <w:pPr>
        <w:spacing w:after="0"/>
        <w:ind w:left="0"/>
        <w:jc w:val="both"/>
      </w:pPr>
      <w:r>
        <w:rPr>
          <w:rFonts w:ascii="Times New Roman"/>
          <w:b w:val="false"/>
          <w:i w:val="false"/>
          <w:color w:val="000000"/>
          <w:sz w:val="28"/>
        </w:rPr>
        <w:t>
      7) лица, осуществляющие деятельность в качестве страховых агентов;</w:t>
      </w:r>
    </w:p>
    <w:bookmarkEnd w:id="87"/>
    <w:bookmarkStart w:name="z104" w:id="88"/>
    <w:p>
      <w:pPr>
        <w:spacing w:after="0"/>
        <w:ind w:left="0"/>
        <w:jc w:val="both"/>
      </w:pPr>
      <w:r>
        <w:rPr>
          <w:rFonts w:ascii="Times New Roman"/>
          <w:b w:val="false"/>
          <w:i w:val="false"/>
          <w:color w:val="000000"/>
          <w:sz w:val="28"/>
        </w:rPr>
        <w:t>
      8) лица, осуществляющие посредническую деятельность по купле-продаже недвижимости;</w:t>
      </w:r>
    </w:p>
    <w:bookmarkEnd w:id="88"/>
    <w:bookmarkStart w:name="z105" w:id="89"/>
    <w:p>
      <w:pPr>
        <w:spacing w:after="0"/>
        <w:ind w:left="0"/>
        <w:jc w:val="both"/>
      </w:pPr>
      <w:r>
        <w:rPr>
          <w:rFonts w:ascii="Times New Roman"/>
          <w:b w:val="false"/>
          <w:i w:val="false"/>
          <w:color w:val="000000"/>
          <w:sz w:val="28"/>
        </w:rPr>
        <w:t>
      9) лица, деятельность которых связана с производством и (или) торговлей оружием, взрывчатыми веществами;</w:t>
      </w:r>
    </w:p>
    <w:bookmarkEnd w:id="89"/>
    <w:bookmarkStart w:name="z106" w:id="90"/>
    <w:p>
      <w:pPr>
        <w:spacing w:after="0"/>
        <w:ind w:left="0"/>
        <w:jc w:val="both"/>
      </w:pPr>
      <w:r>
        <w:rPr>
          <w:rFonts w:ascii="Times New Roman"/>
          <w:b w:val="false"/>
          <w:i w:val="false"/>
          <w:color w:val="000000"/>
          <w:sz w:val="28"/>
        </w:rPr>
        <w:t>
      10) лица, деятельность которых связана с добычей и (или) обработкой, а также куплей-продажей, драгоценных металлов, драгоценных камней либо изделий из них;</w:t>
      </w:r>
    </w:p>
    <w:bookmarkEnd w:id="90"/>
    <w:bookmarkStart w:name="z107" w:id="91"/>
    <w:p>
      <w:pPr>
        <w:spacing w:after="0"/>
        <w:ind w:left="0"/>
        <w:jc w:val="both"/>
      </w:pPr>
      <w:r>
        <w:rPr>
          <w:rFonts w:ascii="Times New Roman"/>
          <w:b w:val="false"/>
          <w:i w:val="false"/>
          <w:color w:val="000000"/>
          <w:sz w:val="28"/>
        </w:rPr>
        <w:t>
      11) некоммерческие организации в организационно-правовой форме фондов, религиозных объединений;</w:t>
      </w:r>
    </w:p>
    <w:bookmarkEnd w:id="91"/>
    <w:bookmarkStart w:name="z108" w:id="92"/>
    <w:p>
      <w:pPr>
        <w:spacing w:after="0"/>
        <w:ind w:left="0"/>
        <w:jc w:val="both"/>
      </w:pPr>
      <w:r>
        <w:rPr>
          <w:rFonts w:ascii="Times New Roman"/>
          <w:b w:val="false"/>
          <w:i w:val="false"/>
          <w:color w:val="000000"/>
          <w:sz w:val="28"/>
        </w:rPr>
        <w:t>
      12) лица, расположенные (зарегистрированные) в иностранных государствах, указанных в пункте 17 Требований, а также расположенные в Республике Казахстан филиалы и представительства таких лиц;</w:t>
      </w:r>
    </w:p>
    <w:bookmarkEnd w:id="92"/>
    <w:bookmarkStart w:name="z109" w:id="93"/>
    <w:p>
      <w:pPr>
        <w:spacing w:after="0"/>
        <w:ind w:left="0"/>
        <w:jc w:val="both"/>
      </w:pPr>
      <w:r>
        <w:rPr>
          <w:rFonts w:ascii="Times New Roman"/>
          <w:b w:val="false"/>
          <w:i w:val="false"/>
          <w:color w:val="000000"/>
          <w:sz w:val="28"/>
        </w:rPr>
        <w:t>
      13) клиент, в отношении которого имеются основания для сомнения в достоверности полученных данных;</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клиент совершает действия, направленные на уклонение от процедур надлежащей проверки клиента,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ПОД/ФТ;</w:t>
      </w:r>
    </w:p>
    <w:bookmarkStart w:name="z111" w:id="94"/>
    <w:p>
      <w:pPr>
        <w:spacing w:after="0"/>
        <w:ind w:left="0"/>
        <w:jc w:val="both"/>
      </w:pPr>
      <w:r>
        <w:rPr>
          <w:rFonts w:ascii="Times New Roman"/>
          <w:b w:val="false"/>
          <w:i w:val="false"/>
          <w:color w:val="000000"/>
          <w:sz w:val="28"/>
        </w:rPr>
        <w:t>
      15) лица, осуществляющие выпуск и обращение обеспеченных цифровых активов;</w:t>
      </w:r>
    </w:p>
    <w:bookmarkEnd w:id="94"/>
    <w:bookmarkStart w:name="z112" w:id="95"/>
    <w:p>
      <w:pPr>
        <w:spacing w:after="0"/>
        <w:ind w:left="0"/>
        <w:jc w:val="both"/>
      </w:pPr>
      <w:r>
        <w:rPr>
          <w:rFonts w:ascii="Times New Roman"/>
          <w:b w:val="false"/>
          <w:i w:val="false"/>
          <w:color w:val="000000"/>
          <w:sz w:val="28"/>
        </w:rPr>
        <w:t>
      16) лица, осуществляющие выпуск и оборот необеспеченных цифровых активов на территории Международного финансового центра "Астана";</w:t>
      </w:r>
    </w:p>
    <w:bookmarkEnd w:id="95"/>
    <w:bookmarkStart w:name="z113" w:id="96"/>
    <w:p>
      <w:pPr>
        <w:spacing w:after="0"/>
        <w:ind w:left="0"/>
        <w:jc w:val="both"/>
      </w:pPr>
      <w:r>
        <w:rPr>
          <w:rFonts w:ascii="Times New Roman"/>
          <w:b w:val="false"/>
          <w:i w:val="false"/>
          <w:color w:val="000000"/>
          <w:sz w:val="28"/>
        </w:rPr>
        <w:t>
      17) клиенты, являющиеся держателями более пяти платежных карточек, выпущенных одним банком, за исключением дополнительных платежных карточек, выпущенных на имя детей, а также кредитных карточек, по которым осуществляются операции исключительно по выдаче и погашению банковских займов, или являющиеся держателями платежных карточек, выпущенных тремя банками более трех платежных карточек каждым банком на одного клиента (при наличии у банка таких сведений), за исключением дополнительных платежных карточек, выпущенных на имя детей, а также кредитных карточек, по которым осуществляются операции исключительно по выдаче и погашению банковских займов;</w:t>
      </w:r>
    </w:p>
    <w:bookmarkEnd w:id="96"/>
    <w:bookmarkStart w:name="z114" w:id="97"/>
    <w:p>
      <w:pPr>
        <w:spacing w:after="0"/>
        <w:ind w:left="0"/>
        <w:jc w:val="both"/>
      </w:pPr>
      <w:r>
        <w:rPr>
          <w:rFonts w:ascii="Times New Roman"/>
          <w:b w:val="false"/>
          <w:i w:val="false"/>
          <w:color w:val="000000"/>
          <w:sz w:val="28"/>
        </w:rPr>
        <w:t>
      18) клиенты, совершившие в течение последних 6 (шести) месяцев три и более платежей в пользу организатора игорного бизнеса на общую сумму более 300 000 (триста тысяч) тенге.";</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16" w:id="98"/>
    <w:p>
      <w:pPr>
        <w:spacing w:after="0"/>
        <w:ind w:left="0"/>
        <w:jc w:val="both"/>
      </w:pPr>
      <w:r>
        <w:rPr>
          <w:rFonts w:ascii="Times New Roman"/>
          <w:b w:val="false"/>
          <w:i w:val="false"/>
          <w:color w:val="000000"/>
          <w:sz w:val="28"/>
        </w:rPr>
        <w:t>
      "22. Программа идентификации клиента, его представителя и бенефициарного собственника включает, но не ограничивается:</w:t>
      </w:r>
    </w:p>
    <w:bookmarkEnd w:id="98"/>
    <w:bookmarkStart w:name="z117" w:id="99"/>
    <w:p>
      <w:pPr>
        <w:spacing w:after="0"/>
        <w:ind w:left="0"/>
        <w:jc w:val="both"/>
      </w:pPr>
      <w:r>
        <w:rPr>
          <w:rFonts w:ascii="Times New Roman"/>
          <w:b w:val="false"/>
          <w:i w:val="false"/>
          <w:color w:val="000000"/>
          <w:sz w:val="28"/>
        </w:rPr>
        <w:t>
      1) порядок принятия клиентов на обслуживание, включая процедуру, основания и сроки принятия банком решения об отказе в установлении деловых отношений и (или) в проведении операции, а также прекращении деловых отношений;</w:t>
      </w:r>
    </w:p>
    <w:bookmarkEnd w:id="99"/>
    <w:bookmarkStart w:name="z118" w:id="100"/>
    <w:p>
      <w:pPr>
        <w:spacing w:after="0"/>
        <w:ind w:left="0"/>
        <w:jc w:val="both"/>
      </w:pPr>
      <w:r>
        <w:rPr>
          <w:rFonts w:ascii="Times New Roman"/>
          <w:b w:val="false"/>
          <w:i w:val="false"/>
          <w:color w:val="000000"/>
          <w:sz w:val="28"/>
        </w:rPr>
        <w:t>
      2) порядок идентификации клиента (его представителя) и бенефициарного собственника, в том числе особенности процедур применения упрощенных и усиленных мер надлежащей проверки клиента;</w:t>
      </w:r>
    </w:p>
    <w:bookmarkEnd w:id="100"/>
    <w:bookmarkStart w:name="z119" w:id="101"/>
    <w:p>
      <w:pPr>
        <w:spacing w:after="0"/>
        <w:ind w:left="0"/>
        <w:jc w:val="both"/>
      </w:pPr>
      <w:r>
        <w:rPr>
          <w:rFonts w:ascii="Times New Roman"/>
          <w:b w:val="false"/>
          <w:i w:val="false"/>
          <w:color w:val="000000"/>
          <w:sz w:val="28"/>
        </w:rPr>
        <w:t>
      3) особенности проведения идентификации при установлении корреспондентских отношений с иностранными финансовыми организациями;</w:t>
      </w:r>
    </w:p>
    <w:bookmarkEnd w:id="101"/>
    <w:bookmarkStart w:name="z120" w:id="102"/>
    <w:p>
      <w:pPr>
        <w:spacing w:after="0"/>
        <w:ind w:left="0"/>
        <w:jc w:val="both"/>
      </w:pPr>
      <w:r>
        <w:rPr>
          <w:rFonts w:ascii="Times New Roman"/>
          <w:b w:val="false"/>
          <w:i w:val="false"/>
          <w:color w:val="000000"/>
          <w:sz w:val="28"/>
        </w:rPr>
        <w:t>
      4) описание мер, направленных на выявление банком среди клиентов (их представителей) и бенефициарных собственников, находящихся на обслуживании или принимаемых на обслуживание, публичных должностных лиц, их супругов и близких родственников;</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порядок применения целевых финансовых санкций, проверки клиента (его представителя) и бенефициарного собственника на наличие в перечнях организаций и лиц, связанных с финансированием терроризма и экстремизма, финансированием распространения оружия массового уничтожения, составляемых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(далее - Перечень) и </w:t>
      </w:r>
      <w:r>
        <w:rPr>
          <w:rFonts w:ascii="Times New Roman"/>
          <w:b w:val="false"/>
          <w:i w:val="false"/>
          <w:color w:val="000000"/>
          <w:sz w:val="28"/>
        </w:rPr>
        <w:t>12-1</w:t>
      </w:r>
      <w:r>
        <w:rPr>
          <w:rFonts w:ascii="Times New Roman"/>
          <w:b w:val="false"/>
          <w:i w:val="false"/>
          <w:color w:val="000000"/>
          <w:sz w:val="28"/>
        </w:rPr>
        <w:t xml:space="preserve"> (далее - Перечень ФРОМУ) Закона о ПОД/ФТ;</w:t>
      </w:r>
    </w:p>
    <w:bookmarkStart w:name="z122" w:id="103"/>
    <w:p>
      <w:pPr>
        <w:spacing w:after="0"/>
        <w:ind w:left="0"/>
        <w:jc w:val="both"/>
      </w:pPr>
      <w:r>
        <w:rPr>
          <w:rFonts w:ascii="Times New Roman"/>
          <w:b w:val="false"/>
          <w:i w:val="false"/>
          <w:color w:val="000000"/>
          <w:sz w:val="28"/>
        </w:rPr>
        <w:t>
      6) порядок прекращения действия целевых финансовых санкций при исключении сведений о клиенте (его представителе) и бенефициарного собственника из Перечня и Перечня ФРОМУ;</w:t>
      </w:r>
    </w:p>
    <w:bookmarkEnd w:id="103"/>
    <w:bookmarkStart w:name="z123" w:id="104"/>
    <w:p>
      <w:pPr>
        <w:spacing w:after="0"/>
        <w:ind w:left="0"/>
        <w:jc w:val="both"/>
      </w:pPr>
      <w:r>
        <w:rPr>
          <w:rFonts w:ascii="Times New Roman"/>
          <w:b w:val="false"/>
          <w:i w:val="false"/>
          <w:color w:val="000000"/>
          <w:sz w:val="28"/>
        </w:rPr>
        <w:t>
      7) особенности идентификации при дистанционном установлении деловых отношений (без личного присутствия клиента или его представителя);</w:t>
      </w:r>
    </w:p>
    <w:bookmarkEnd w:id="104"/>
    <w:bookmarkStart w:name="z124" w:id="105"/>
    <w:p>
      <w:pPr>
        <w:spacing w:after="0"/>
        <w:ind w:left="0"/>
        <w:jc w:val="both"/>
      </w:pPr>
      <w:r>
        <w:rPr>
          <w:rFonts w:ascii="Times New Roman"/>
          <w:b w:val="false"/>
          <w:i w:val="false"/>
          <w:color w:val="000000"/>
          <w:sz w:val="28"/>
        </w:rPr>
        <w:t>
      8) особенности обмена сведениями, полученными в процессе идентификации клиента (его представителя) и бенефициарного собственника, а также хранения и обеспечения конфиденциальности таких сведений, в рамках выполнения требований по ПОД/ФТ, установленных банковским конгломератом, в который входит банк (при наличии);</w:t>
      </w:r>
    </w:p>
    <w:bookmarkEnd w:id="105"/>
    <w:bookmarkStart w:name="z125" w:id="106"/>
    <w:p>
      <w:pPr>
        <w:spacing w:after="0"/>
        <w:ind w:left="0"/>
        <w:jc w:val="both"/>
      </w:pPr>
      <w:r>
        <w:rPr>
          <w:rFonts w:ascii="Times New Roman"/>
          <w:b w:val="false"/>
          <w:i w:val="false"/>
          <w:color w:val="000000"/>
          <w:sz w:val="28"/>
        </w:rPr>
        <w:t>
      9) особенности идентификации клиентов путем получения сведений от других финансовых организаций, в том числе идентификации физических и юридических лиц, в пользу или от имени которых брокером (дилером) совершаются операции по своему банковскому счету;</w:t>
      </w:r>
    </w:p>
    <w:bookmarkEnd w:id="106"/>
    <w:bookmarkStart w:name="z126" w:id="107"/>
    <w:p>
      <w:pPr>
        <w:spacing w:after="0"/>
        <w:ind w:left="0"/>
        <w:jc w:val="both"/>
      </w:pPr>
      <w:r>
        <w:rPr>
          <w:rFonts w:ascii="Times New Roman"/>
          <w:b w:val="false"/>
          <w:i w:val="false"/>
          <w:color w:val="000000"/>
          <w:sz w:val="28"/>
        </w:rPr>
        <w:t>
      10) порядок проверки достоверности сведений о клиенте (его представителе) и бенефициарном собственнике;</w:t>
      </w:r>
    </w:p>
    <w:bookmarkEnd w:id="107"/>
    <w:bookmarkStart w:name="z127" w:id="108"/>
    <w:p>
      <w:pPr>
        <w:spacing w:after="0"/>
        <w:ind w:left="0"/>
        <w:jc w:val="both"/>
      </w:pPr>
      <w:r>
        <w:rPr>
          <w:rFonts w:ascii="Times New Roman"/>
          <w:b w:val="false"/>
          <w:i w:val="false"/>
          <w:color w:val="000000"/>
          <w:sz w:val="28"/>
        </w:rPr>
        <w:t>
      11)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bookmarkEnd w:id="108"/>
    <w:bookmarkStart w:name="z128" w:id="109"/>
    <w:p>
      <w:pPr>
        <w:spacing w:after="0"/>
        <w:ind w:left="0"/>
        <w:jc w:val="both"/>
      </w:pPr>
      <w:r>
        <w:rPr>
          <w:rFonts w:ascii="Times New Roman"/>
          <w:b w:val="false"/>
          <w:i w:val="false"/>
          <w:color w:val="000000"/>
          <w:sz w:val="28"/>
        </w:rPr>
        <w:t>
      12) порядок оценки уровня риска клиента, основания оценки такого риска;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порядок получения и представления по запросу банка сведений о бенефициарных собственниках клиентов по форме и порядке, определенным уполномоченным органом по финансовому мониторингу в соответствии с частями третьей и четвертой </w:t>
      </w:r>
      <w:r>
        <w:rPr>
          <w:rFonts w:ascii="Times New Roman"/>
          <w:b w:val="false"/>
          <w:i w:val="false"/>
          <w:color w:val="000000"/>
          <w:sz w:val="28"/>
        </w:rPr>
        <w:t>пункта 5</w:t>
      </w:r>
      <w:r>
        <w:rPr>
          <w:rFonts w:ascii="Times New Roman"/>
          <w:b w:val="false"/>
          <w:i w:val="false"/>
          <w:color w:val="000000"/>
          <w:sz w:val="28"/>
        </w:rPr>
        <w:t xml:space="preserve"> статьи 5 Закона о ПОД/ФТ;</w:t>
      </w:r>
    </w:p>
    <w:bookmarkStart w:name="z130" w:id="110"/>
    <w:p>
      <w:pPr>
        <w:spacing w:after="0"/>
        <w:ind w:left="0"/>
        <w:jc w:val="both"/>
      </w:pPr>
      <w:r>
        <w:rPr>
          <w:rFonts w:ascii="Times New Roman"/>
          <w:b w:val="false"/>
          <w:i w:val="false"/>
          <w:color w:val="000000"/>
          <w:sz w:val="28"/>
        </w:rPr>
        <w:t>
      14) порядок проверки клиента (его представителя) и бенефициарного собственника на принадлежность к иностранным организаторам игорного бизнеса, деятельность которых признана незаконной на территории Республики Казахстан на основании судебного акта (далее – иностранные организаторы игорного бизнеса), отказа в проведении платежей и (или) переводов денег в пользу иностранных организаторов игорного бизнеса, а также прекращения деловых отношений с клиентом, являющимся иностранным организатором игорного бизнеса.</w:t>
      </w:r>
    </w:p>
    <w:bookmarkEnd w:id="110"/>
    <w:bookmarkStart w:name="z131" w:id="111"/>
    <w:p>
      <w:pPr>
        <w:spacing w:after="0"/>
        <w:ind w:left="0"/>
        <w:jc w:val="both"/>
      </w:pPr>
      <w:r>
        <w:rPr>
          <w:rFonts w:ascii="Times New Roman"/>
          <w:b w:val="false"/>
          <w:i w:val="false"/>
          <w:color w:val="000000"/>
          <w:sz w:val="28"/>
        </w:rPr>
        <w:t>
      Документы, представляемые клиентом (его представителем) в целях подтверждения сведений о клиенте (его представителе) и бенефициарном собственнике, проверяются на их действительность.</w:t>
      </w:r>
    </w:p>
    <w:bookmarkEnd w:id="111"/>
    <w:bookmarkStart w:name="z132" w:id="112"/>
    <w:p>
      <w:pPr>
        <w:spacing w:after="0"/>
        <w:ind w:left="0"/>
        <w:jc w:val="both"/>
      </w:pPr>
      <w:r>
        <w:rPr>
          <w:rFonts w:ascii="Times New Roman"/>
          <w:b w:val="false"/>
          <w:i w:val="false"/>
          <w:color w:val="000000"/>
          <w:sz w:val="28"/>
        </w:rPr>
        <w:t>
      В отношении представителя клиента дополнительно проверяются полномочия такого лица действовать от имени и (или) в интересах клиента.</w:t>
      </w:r>
    </w:p>
    <w:bookmarkEnd w:id="112"/>
    <w:bookmarkStart w:name="z133" w:id="113"/>
    <w:p>
      <w:pPr>
        <w:spacing w:after="0"/>
        <w:ind w:left="0"/>
        <w:jc w:val="both"/>
      </w:pPr>
      <w:r>
        <w:rPr>
          <w:rFonts w:ascii="Times New Roman"/>
          <w:b w:val="false"/>
          <w:i w:val="false"/>
          <w:color w:val="000000"/>
          <w:sz w:val="28"/>
        </w:rPr>
        <w:t>
      В отношении клиента, с которым банк установил деловые отношения посредством представителя клиента, действующего от имени клиента на основании выданной доверенности, банком до проведения расходных или приходных операций, дополнительно проводится биометрическая идентификация клиента.</w:t>
      </w:r>
    </w:p>
    <w:bookmarkEnd w:id="113"/>
    <w:bookmarkStart w:name="z134" w:id="114"/>
    <w:p>
      <w:pPr>
        <w:spacing w:after="0"/>
        <w:ind w:left="0"/>
        <w:jc w:val="both"/>
      </w:pPr>
      <w:r>
        <w:rPr>
          <w:rFonts w:ascii="Times New Roman"/>
          <w:b w:val="false"/>
          <w:i w:val="false"/>
          <w:color w:val="000000"/>
          <w:sz w:val="28"/>
        </w:rPr>
        <w:t>
      Не допускается дистанционное установление деловых отношений с клиентами, являющимися резидентами стран с высоким риском ОД/ФТ на основе фактора незаконного производства, оборота и (или) транзита наркотиков, за исключением стран Евразийского экономического союза, продление таких деловых отношений, а также выпуск и перевыпуск (без личного присутствия клиента) более одной платежной карточки указанным лицам.</w:t>
      </w:r>
    </w:p>
    <w:bookmarkEnd w:id="114"/>
    <w:bookmarkStart w:name="z135" w:id="115"/>
    <w:p>
      <w:pPr>
        <w:spacing w:after="0"/>
        <w:ind w:left="0"/>
        <w:jc w:val="both"/>
      </w:pPr>
      <w:r>
        <w:rPr>
          <w:rFonts w:ascii="Times New Roman"/>
          <w:b w:val="false"/>
          <w:i w:val="false"/>
          <w:color w:val="000000"/>
          <w:sz w:val="28"/>
        </w:rPr>
        <w:t>
      Срок действия платежных карточек, выпущенных клиентам, являющимся нерезидентами Республики Казахстан, не превышает 12 (двенадцать) календарных месяцев, за исключением платежных карточек, выпущенных на субъектов предпринимательства, дипломатических работников и инвесторов.</w:t>
      </w:r>
    </w:p>
    <w:bookmarkEnd w:id="115"/>
    <w:bookmarkStart w:name="z136" w:id="116"/>
    <w:p>
      <w:pPr>
        <w:spacing w:after="0"/>
        <w:ind w:left="0"/>
        <w:jc w:val="both"/>
      </w:pPr>
      <w:r>
        <w:rPr>
          <w:rFonts w:ascii="Times New Roman"/>
          <w:b w:val="false"/>
          <w:i w:val="false"/>
          <w:color w:val="000000"/>
          <w:sz w:val="28"/>
        </w:rPr>
        <w:t>
      Банком проверяются документы клиентов, являющихся нерезидентами Республики Казахстан - держателями платежных карточек, выпущенных данным банком, и (или) резидентами стран с высоким риском ОД/ФТ на основе фактора незаконного производства, оборота и (или) транзита наркотиков, за исключением стран Евразийского экономического союза, подтверждающие обоснованность нахождения в Республике Казахстан (трудовой договор, договор обучения, вид на жительство иностранца в Республике Казахстан и другие документы);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банк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 на основании договора поручил иному лицу применение в отношении клиентов банка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статьи 5 Закона о ПОД/ФТ, банк разрабатывает правила взаимодействия с такими лицами, которые включают:</w:t>
      </w:r>
    </w:p>
    <w:bookmarkStart w:name="z138" w:id="117"/>
    <w:p>
      <w:pPr>
        <w:spacing w:after="0"/>
        <w:ind w:left="0"/>
        <w:jc w:val="both"/>
      </w:pPr>
      <w:r>
        <w:rPr>
          <w:rFonts w:ascii="Times New Roman"/>
          <w:b w:val="false"/>
          <w:i w:val="false"/>
          <w:color w:val="000000"/>
          <w:sz w:val="28"/>
        </w:rPr>
        <w:t>
      процедуру заключения банком договоров с лицами, которым поручено проведение идентификации, а также перечень должностных лиц банка, уполномоченных заключать такие договоры;</w:t>
      </w:r>
    </w:p>
    <w:bookmarkEnd w:id="117"/>
    <w:bookmarkStart w:name="z139" w:id="118"/>
    <w:p>
      <w:pPr>
        <w:spacing w:after="0"/>
        <w:ind w:left="0"/>
        <w:jc w:val="both"/>
      </w:pPr>
      <w:r>
        <w:rPr>
          <w:rFonts w:ascii="Times New Roman"/>
          <w:b w:val="false"/>
          <w:i w:val="false"/>
          <w:color w:val="000000"/>
          <w:sz w:val="28"/>
        </w:rPr>
        <w:t>
      процедуру идентификации клиента (его представителя) и бенефициарного собственника в соответствии с договорами между банком и лицами, которым поручено проведение идентификации;</w:t>
      </w:r>
    </w:p>
    <w:bookmarkEnd w:id="118"/>
    <w:bookmarkStart w:name="z140" w:id="119"/>
    <w:p>
      <w:pPr>
        <w:spacing w:after="0"/>
        <w:ind w:left="0"/>
        <w:jc w:val="both"/>
      </w:pPr>
      <w:r>
        <w:rPr>
          <w:rFonts w:ascii="Times New Roman"/>
          <w:b w:val="false"/>
          <w:i w:val="false"/>
          <w:color w:val="000000"/>
          <w:sz w:val="28"/>
        </w:rPr>
        <w:t>
      процедуру и сроки передачи банку сведений, полученных при проведении идентификации, лицами, которым поручено проведение идентификации;</w:t>
      </w:r>
    </w:p>
    <w:bookmarkEnd w:id="119"/>
    <w:bookmarkStart w:name="z141" w:id="120"/>
    <w:p>
      <w:pPr>
        <w:spacing w:after="0"/>
        <w:ind w:left="0"/>
        <w:jc w:val="both"/>
      </w:pPr>
      <w:r>
        <w:rPr>
          <w:rFonts w:ascii="Times New Roman"/>
          <w:b w:val="false"/>
          <w:i w:val="false"/>
          <w:color w:val="000000"/>
          <w:sz w:val="28"/>
        </w:rPr>
        <w:t>
      процедуру осуществления банком контроля за соблюдением лицами, которым поручено проведение идентификации, требований по идентификации, включая процедуру, сроки и полноту передачи банку полученных сведений, а также меры, принимаемые банком по устранению выявленных нарушений;</w:t>
      </w:r>
    </w:p>
    <w:bookmarkEnd w:id="120"/>
    <w:bookmarkStart w:name="z142" w:id="121"/>
    <w:p>
      <w:pPr>
        <w:spacing w:after="0"/>
        <w:ind w:left="0"/>
        <w:jc w:val="both"/>
      </w:pPr>
      <w:r>
        <w:rPr>
          <w:rFonts w:ascii="Times New Roman"/>
          <w:b w:val="false"/>
          <w:i w:val="false"/>
          <w:color w:val="000000"/>
          <w:sz w:val="28"/>
        </w:rPr>
        <w:t>
      основания, процедуру и сроки принятия банком решения об одностороннем отказе от исполнения договора с лицами, которым поручено проведение идентификации, в случае несоблюдения ими требований по идентификации, в том числе процедур, сроков и полноты передачи банку полученных сведений;</w:t>
      </w:r>
    </w:p>
    <w:bookmarkEnd w:id="121"/>
    <w:bookmarkStart w:name="z143" w:id="122"/>
    <w:p>
      <w:pPr>
        <w:spacing w:after="0"/>
        <w:ind w:left="0"/>
        <w:jc w:val="both"/>
      </w:pPr>
      <w:r>
        <w:rPr>
          <w:rFonts w:ascii="Times New Roman"/>
          <w:b w:val="false"/>
          <w:i w:val="false"/>
          <w:color w:val="000000"/>
          <w:sz w:val="28"/>
        </w:rPr>
        <w:t>
      перечень должностных лиц банка, уполномоченных принимать решение об одностороннем отказе от исполнения договора с лицами, которым поручено проведение идентификации;</w:t>
      </w:r>
    </w:p>
    <w:bookmarkEnd w:id="122"/>
    <w:bookmarkStart w:name="z144" w:id="123"/>
    <w:p>
      <w:pPr>
        <w:spacing w:after="0"/>
        <w:ind w:left="0"/>
        <w:jc w:val="both"/>
      </w:pPr>
      <w:r>
        <w:rPr>
          <w:rFonts w:ascii="Times New Roman"/>
          <w:b w:val="false"/>
          <w:i w:val="false"/>
          <w:color w:val="000000"/>
          <w:sz w:val="28"/>
        </w:rPr>
        <w:t>
      положения об ответственности лиц, которым банк поручил проведение идентификации, за несоблюдение ими требований по идентификации, включая процедуру, сроки и полноту передачи банку полученных сведений;</w:t>
      </w:r>
    </w:p>
    <w:bookmarkEnd w:id="123"/>
    <w:bookmarkStart w:name="z145" w:id="124"/>
    <w:p>
      <w:pPr>
        <w:spacing w:after="0"/>
        <w:ind w:left="0"/>
        <w:jc w:val="both"/>
      </w:pPr>
      <w:r>
        <w:rPr>
          <w:rFonts w:ascii="Times New Roman"/>
          <w:b w:val="false"/>
          <w:i w:val="false"/>
          <w:color w:val="000000"/>
          <w:sz w:val="28"/>
        </w:rPr>
        <w:t>
      процедуру взаимодействия банка с лицами, которым поручено проведение идентификации, по вопросам оказания им методологической помощи в целях выполнения требований по идентификации.</w:t>
      </w:r>
    </w:p>
    <w:bookmarkEnd w:id="124"/>
    <w:bookmarkStart w:name="z146" w:id="125"/>
    <w:p>
      <w:pPr>
        <w:spacing w:after="0"/>
        <w:ind w:left="0"/>
        <w:jc w:val="both"/>
      </w:pPr>
      <w:r>
        <w:rPr>
          <w:rFonts w:ascii="Times New Roman"/>
          <w:b w:val="false"/>
          <w:i w:val="false"/>
          <w:color w:val="000000"/>
          <w:sz w:val="28"/>
        </w:rPr>
        <w:t>
      Допускается включение банком дополнительных условий в правила взаимодействия.</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поручивший на основании договора иностранной финансовой организации применение мер надлежащей проверки клиентов (их представителей) и бенефициарных собственников,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статьи 5 Закона о ПОД/ФТ, учитывает возможные риски ОД/ФТ.";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49" w:id="126"/>
    <w:p>
      <w:pPr>
        <w:spacing w:after="0"/>
        <w:ind w:left="0"/>
        <w:jc w:val="both"/>
      </w:pPr>
      <w:r>
        <w:rPr>
          <w:rFonts w:ascii="Times New Roman"/>
          <w:b w:val="false"/>
          <w:i w:val="false"/>
          <w:color w:val="000000"/>
          <w:sz w:val="28"/>
        </w:rPr>
        <w:t>
      "27. Периодичность обновления и (или) необходимость получения дополнительных сведений о клиенте (его представителе) и бенефициарном собственнике устанавливаются с учетом уровня риска клиента (группы клиентов) и (или) степени подверженности услуг (продуктов) банка, которыми пользуется клиент, рискам ОД/ФТ.</w:t>
      </w:r>
    </w:p>
    <w:bookmarkEnd w:id="126"/>
    <w:bookmarkStart w:name="z150" w:id="127"/>
    <w:p>
      <w:pPr>
        <w:spacing w:after="0"/>
        <w:ind w:left="0"/>
        <w:jc w:val="both"/>
      </w:pPr>
      <w:r>
        <w:rPr>
          <w:rFonts w:ascii="Times New Roman"/>
          <w:b w:val="false"/>
          <w:i w:val="false"/>
          <w:color w:val="000000"/>
          <w:sz w:val="28"/>
        </w:rPr>
        <w:t>
      Обновление сведений о клиенте (его представителе) и бенефициарном собственнике с высоким уровнем риска осуществляется не реже одного раза в год.</w:t>
      </w:r>
    </w:p>
    <w:bookmarkEnd w:id="127"/>
    <w:bookmarkStart w:name="z151" w:id="128"/>
    <w:p>
      <w:pPr>
        <w:spacing w:after="0"/>
        <w:ind w:left="0"/>
        <w:jc w:val="both"/>
      </w:pPr>
      <w:r>
        <w:rPr>
          <w:rFonts w:ascii="Times New Roman"/>
          <w:b w:val="false"/>
          <w:i w:val="false"/>
          <w:color w:val="000000"/>
          <w:sz w:val="28"/>
        </w:rPr>
        <w:t>
      Обновление сведений о клиенте (его представителе), являющимся держателем более пяти платежных карточек, выпущенных одним банком, за исключением дополнительных платежных карточек, выпущенных на имя детей, а также кредитных карточек, по которым осуществляются операции исключительно по выдаче и погашению банковских займов, или являющиеся держателями платежных карточек, выпущенных тремя банками более трех платежных карточек каждым банком на одного клиента (при наличии у банка таких сведений), за исключением дополнительных платежных карточек, выпущенных на имя детей, а также кредитных карточек, по которым осуществляются операции исключительно по выдаче и погашению банковских займов, осуществляется не реже одного раза в квартал.</w:t>
      </w:r>
    </w:p>
    <w:bookmarkEnd w:id="128"/>
    <w:bookmarkStart w:name="z152" w:id="129"/>
    <w:p>
      <w:pPr>
        <w:spacing w:after="0"/>
        <w:ind w:left="0"/>
        <w:jc w:val="both"/>
      </w:pPr>
      <w:r>
        <w:rPr>
          <w:rFonts w:ascii="Times New Roman"/>
          <w:b w:val="false"/>
          <w:i w:val="false"/>
          <w:color w:val="000000"/>
          <w:sz w:val="28"/>
        </w:rPr>
        <w:t>
      Обновление сведений о клиенте (его представителе), в отношении которого имеются основания полагать, что его деятельность связана с финансированием незаконным производством, оборотом и (или) транзитом наркотиков, осуществляется не реже одного раза в полгода.".</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октября 2020 года № 95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 (зарегистрировано в Реестре государственной регистрации нормативных правовых актов под № 21434)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15 </w:t>
      </w:r>
      <w:r>
        <w:rPr>
          <w:rFonts w:ascii="Times New Roman"/>
          <w:b w:val="false"/>
          <w:i w:val="false"/>
          <w:color w:val="000000"/>
          <w:sz w:val="28"/>
        </w:rPr>
        <w:t>изложить в следующей редакции:</w:t>
      </w:r>
    </w:p>
    <w:bookmarkStart w:name="z156" w:id="130"/>
    <w:p>
      <w:pPr>
        <w:spacing w:after="0"/>
        <w:ind w:left="0"/>
        <w:jc w:val="both"/>
      </w:pPr>
      <w:r>
        <w:rPr>
          <w:rFonts w:ascii="Times New Roman"/>
          <w:b w:val="false"/>
          <w:i w:val="false"/>
          <w:color w:val="000000"/>
          <w:sz w:val="28"/>
        </w:rPr>
        <w:t>
      "15. Типы клиентов, чей статус и (или) чья деятельность повышают риск ОД/ФТ, включают, но не ограничиваются:</w:t>
      </w:r>
    </w:p>
    <w:bookmarkEnd w:id="130"/>
    <w:bookmarkStart w:name="z157" w:id="131"/>
    <w:p>
      <w:pPr>
        <w:spacing w:after="0"/>
        <w:ind w:left="0"/>
        <w:jc w:val="both"/>
      </w:pPr>
      <w:r>
        <w:rPr>
          <w:rFonts w:ascii="Times New Roman"/>
          <w:b w:val="false"/>
          <w:i w:val="false"/>
          <w:color w:val="000000"/>
          <w:sz w:val="28"/>
        </w:rPr>
        <w:t>
      1) публичные должностные лица, их супруги и близкие родственники;</w:t>
      </w:r>
    </w:p>
    <w:bookmarkEnd w:id="131"/>
    <w:bookmarkStart w:name="z158" w:id="132"/>
    <w:p>
      <w:pPr>
        <w:spacing w:after="0"/>
        <w:ind w:left="0"/>
        <w:jc w:val="both"/>
      </w:pPr>
      <w:r>
        <w:rPr>
          <w:rFonts w:ascii="Times New Roman"/>
          <w:b w:val="false"/>
          <w:i w:val="false"/>
          <w:color w:val="000000"/>
          <w:sz w:val="28"/>
        </w:rPr>
        <w:t>
      2) юридические лица и индивидуальные предприниматели, деятельность которых связана с интенсивным оборотом наличных денег, в том числе:</w:t>
      </w:r>
    </w:p>
    <w:bookmarkEnd w:id="132"/>
    <w:bookmarkStart w:name="z159" w:id="133"/>
    <w:p>
      <w:pPr>
        <w:spacing w:after="0"/>
        <w:ind w:left="0"/>
        <w:jc w:val="both"/>
      </w:pPr>
      <w:r>
        <w:rPr>
          <w:rFonts w:ascii="Times New Roman"/>
          <w:b w:val="false"/>
          <w:i w:val="false"/>
          <w:color w:val="000000"/>
          <w:sz w:val="28"/>
        </w:rPr>
        <w:t>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133"/>
    <w:bookmarkStart w:name="z160" w:id="134"/>
    <w:p>
      <w:pPr>
        <w:spacing w:after="0"/>
        <w:ind w:left="0"/>
        <w:jc w:val="both"/>
      </w:pPr>
      <w:r>
        <w:rPr>
          <w:rFonts w:ascii="Times New Roman"/>
          <w:b w:val="false"/>
          <w:i w:val="false"/>
          <w:color w:val="000000"/>
          <w:sz w:val="28"/>
        </w:rPr>
        <w:t>
      организации, исключительной деятельностью которых является инкассация банкнот, монет и ценностей (за исключением дочерних организаций банков второго уровня, которые соблюдают требования по ПОД/ФТ, установленные банками второго уровня);</w:t>
      </w:r>
    </w:p>
    <w:bookmarkEnd w:id="134"/>
    <w:bookmarkStart w:name="z161" w:id="135"/>
    <w:p>
      <w:pPr>
        <w:spacing w:after="0"/>
        <w:ind w:left="0"/>
        <w:jc w:val="both"/>
      </w:pPr>
      <w:r>
        <w:rPr>
          <w:rFonts w:ascii="Times New Roman"/>
          <w:b w:val="false"/>
          <w:i w:val="false"/>
          <w:color w:val="000000"/>
          <w:sz w:val="28"/>
        </w:rPr>
        <w:t>
      организации, осуществляющие микрофинансовую деятельность;</w:t>
      </w:r>
    </w:p>
    <w:bookmarkEnd w:id="135"/>
    <w:bookmarkStart w:name="z162" w:id="136"/>
    <w:p>
      <w:pPr>
        <w:spacing w:after="0"/>
        <w:ind w:left="0"/>
        <w:jc w:val="both"/>
      </w:pPr>
      <w:r>
        <w:rPr>
          <w:rFonts w:ascii="Times New Roman"/>
          <w:b w:val="false"/>
          <w:i w:val="false"/>
          <w:color w:val="000000"/>
          <w:sz w:val="28"/>
        </w:rPr>
        <w:t>
      агенты (поверенные) поставщиков услуг (кроме финансовых), осуществляющие прием от потребителей наличных денег, в том числе через электронные терминалы;</w:t>
      </w:r>
    </w:p>
    <w:bookmarkEnd w:id="136"/>
    <w:bookmarkStart w:name="z163" w:id="137"/>
    <w:p>
      <w:pPr>
        <w:spacing w:after="0"/>
        <w:ind w:left="0"/>
        <w:jc w:val="both"/>
      </w:pPr>
      <w:r>
        <w:rPr>
          <w:rFonts w:ascii="Times New Roman"/>
          <w:b w:val="false"/>
          <w:i w:val="false"/>
          <w:color w:val="000000"/>
          <w:sz w:val="28"/>
        </w:rPr>
        <w:t>
      организаторы игорного бизнеса, а также лица, предоставляющие услуги либо получающие доходы от деятельности онлайн-казино за пределами Республики Казахстан;</w:t>
      </w:r>
    </w:p>
    <w:bookmarkEnd w:id="137"/>
    <w:bookmarkStart w:name="z164" w:id="138"/>
    <w:p>
      <w:pPr>
        <w:spacing w:after="0"/>
        <w:ind w:left="0"/>
        <w:jc w:val="both"/>
      </w:pPr>
      <w:r>
        <w:rPr>
          <w:rFonts w:ascii="Times New Roman"/>
          <w:b w:val="false"/>
          <w:i w:val="false"/>
          <w:color w:val="000000"/>
          <w:sz w:val="28"/>
        </w:rPr>
        <w:t>
      лица, предоставляющие туристские услуги, а также услуги, связанные с интенсивным оборотом наличных денег;</w:t>
      </w:r>
    </w:p>
    <w:bookmarkEnd w:id="138"/>
    <w:bookmarkStart w:name="z165" w:id="139"/>
    <w:p>
      <w:pPr>
        <w:spacing w:after="0"/>
        <w:ind w:left="0"/>
        <w:jc w:val="both"/>
      </w:pPr>
      <w:r>
        <w:rPr>
          <w:rFonts w:ascii="Times New Roman"/>
          <w:b w:val="false"/>
          <w:i w:val="false"/>
          <w:color w:val="000000"/>
          <w:sz w:val="28"/>
        </w:rPr>
        <w:t>
      3) брокеры-дилеры, управляющие инвестиционным портфелем (за исключением дочерних организаций банков второго уровня, которые соблюдают требования по ПОД/ФТ, установленные банками второго уровня);</w:t>
      </w:r>
    </w:p>
    <w:bookmarkEnd w:id="139"/>
    <w:bookmarkStart w:name="z166" w:id="140"/>
    <w:p>
      <w:pPr>
        <w:spacing w:after="0"/>
        <w:ind w:left="0"/>
        <w:jc w:val="both"/>
      </w:pPr>
      <w:r>
        <w:rPr>
          <w:rFonts w:ascii="Times New Roman"/>
          <w:b w:val="false"/>
          <w:i w:val="false"/>
          <w:color w:val="000000"/>
          <w:sz w:val="28"/>
        </w:rPr>
        <w:t>
      4) страховые (перестраховочные) организации, страховые брокеры, осуществляющие деятельность по отрасли "страхование жизни" (за исключением дочерних организаций банков второго уровня, которые соблюдают требования по ПОД/ФТ, установленные банками второго уровня);</w:t>
      </w:r>
    </w:p>
    <w:bookmarkEnd w:id="140"/>
    <w:bookmarkStart w:name="z167" w:id="141"/>
    <w:p>
      <w:pPr>
        <w:spacing w:after="0"/>
        <w:ind w:left="0"/>
        <w:jc w:val="both"/>
      </w:pPr>
      <w:r>
        <w:rPr>
          <w:rFonts w:ascii="Times New Roman"/>
          <w:b w:val="false"/>
          <w:i w:val="false"/>
          <w:color w:val="000000"/>
          <w:sz w:val="28"/>
        </w:rPr>
        <w:t>
      5) лица, осуществляющие выпуск и обращение обеспеченных цифровых активов;</w:t>
      </w:r>
    </w:p>
    <w:bookmarkEnd w:id="141"/>
    <w:bookmarkStart w:name="z168" w:id="142"/>
    <w:p>
      <w:pPr>
        <w:spacing w:after="0"/>
        <w:ind w:left="0"/>
        <w:jc w:val="both"/>
      </w:pPr>
      <w:r>
        <w:rPr>
          <w:rFonts w:ascii="Times New Roman"/>
          <w:b w:val="false"/>
          <w:i w:val="false"/>
          <w:color w:val="000000"/>
          <w:sz w:val="28"/>
        </w:rPr>
        <w:t>
      6) лица, осуществляющие выпуск и оборот необеспеченных цифровых активов на территории Международного финансового центра "Астана";</w:t>
      </w:r>
    </w:p>
    <w:bookmarkEnd w:id="142"/>
    <w:bookmarkStart w:name="z169" w:id="143"/>
    <w:p>
      <w:pPr>
        <w:spacing w:after="0"/>
        <w:ind w:left="0"/>
        <w:jc w:val="both"/>
      </w:pPr>
      <w:r>
        <w:rPr>
          <w:rFonts w:ascii="Times New Roman"/>
          <w:b w:val="false"/>
          <w:i w:val="false"/>
          <w:color w:val="000000"/>
          <w:sz w:val="28"/>
        </w:rPr>
        <w:t>
      7) лица, предоставляющие услуги по финансовому лизингу (за исключением дочерних организаций банков второго уровня, которые соблюдают требования по ПОД/ФТ, установленные банками второго уровня);</w:t>
      </w:r>
    </w:p>
    <w:bookmarkEnd w:id="143"/>
    <w:bookmarkStart w:name="z170" w:id="144"/>
    <w:p>
      <w:pPr>
        <w:spacing w:after="0"/>
        <w:ind w:left="0"/>
        <w:jc w:val="both"/>
      </w:pPr>
      <w:r>
        <w:rPr>
          <w:rFonts w:ascii="Times New Roman"/>
          <w:b w:val="false"/>
          <w:i w:val="false"/>
          <w:color w:val="000000"/>
          <w:sz w:val="28"/>
        </w:rPr>
        <w:t>
      8) лица, осуществляющие деятельность в качестве страховых агентов;</w:t>
      </w:r>
    </w:p>
    <w:bookmarkEnd w:id="144"/>
    <w:bookmarkStart w:name="z171" w:id="145"/>
    <w:p>
      <w:pPr>
        <w:spacing w:after="0"/>
        <w:ind w:left="0"/>
        <w:jc w:val="both"/>
      </w:pPr>
      <w:r>
        <w:rPr>
          <w:rFonts w:ascii="Times New Roman"/>
          <w:b w:val="false"/>
          <w:i w:val="false"/>
          <w:color w:val="000000"/>
          <w:sz w:val="28"/>
        </w:rPr>
        <w:t>
      9) лица, осуществляющие посредническую деятельность по купле-продаже недвижимости;</w:t>
      </w:r>
    </w:p>
    <w:bookmarkEnd w:id="145"/>
    <w:bookmarkStart w:name="z172" w:id="146"/>
    <w:p>
      <w:pPr>
        <w:spacing w:after="0"/>
        <w:ind w:left="0"/>
        <w:jc w:val="both"/>
      </w:pPr>
      <w:r>
        <w:rPr>
          <w:rFonts w:ascii="Times New Roman"/>
          <w:b w:val="false"/>
          <w:i w:val="false"/>
          <w:color w:val="000000"/>
          <w:sz w:val="28"/>
        </w:rPr>
        <w:t>
      10) лица, деятельность которых связана с производством и (или) торговлей оружием, взрывчатыми веществами;</w:t>
      </w:r>
    </w:p>
    <w:bookmarkEnd w:id="146"/>
    <w:bookmarkStart w:name="z173" w:id="147"/>
    <w:p>
      <w:pPr>
        <w:spacing w:after="0"/>
        <w:ind w:left="0"/>
        <w:jc w:val="both"/>
      </w:pPr>
      <w:r>
        <w:rPr>
          <w:rFonts w:ascii="Times New Roman"/>
          <w:b w:val="false"/>
          <w:i w:val="false"/>
          <w:color w:val="000000"/>
          <w:sz w:val="28"/>
        </w:rPr>
        <w:t>
      11) лица, деятельность которых связана с добычей и (или) обработкой, а также куплей-продажей драгоценных металлов, драгоценных камней либо изделий из них;</w:t>
      </w:r>
    </w:p>
    <w:bookmarkEnd w:id="147"/>
    <w:bookmarkStart w:name="z174" w:id="148"/>
    <w:p>
      <w:pPr>
        <w:spacing w:after="0"/>
        <w:ind w:left="0"/>
        <w:jc w:val="both"/>
      </w:pPr>
      <w:r>
        <w:rPr>
          <w:rFonts w:ascii="Times New Roman"/>
          <w:b w:val="false"/>
          <w:i w:val="false"/>
          <w:color w:val="000000"/>
          <w:sz w:val="28"/>
        </w:rPr>
        <w:t>
      12) некоммерческие организации в организационно-правовой форме фондов, религиозных объединений;</w:t>
      </w:r>
    </w:p>
    <w:bookmarkEnd w:id="148"/>
    <w:bookmarkStart w:name="z175" w:id="149"/>
    <w:p>
      <w:pPr>
        <w:spacing w:after="0"/>
        <w:ind w:left="0"/>
        <w:jc w:val="both"/>
      </w:pPr>
      <w:r>
        <w:rPr>
          <w:rFonts w:ascii="Times New Roman"/>
          <w:b w:val="false"/>
          <w:i w:val="false"/>
          <w:color w:val="000000"/>
          <w:sz w:val="28"/>
        </w:rPr>
        <w:t>
      13) лица, расположенные (зарегистрированные) в иностранных государствах, указанных в пункте 16 Требований, а также расположенные в Республике Казахстан филиалы и представительства таких лиц;</w:t>
      </w:r>
    </w:p>
    <w:bookmarkEnd w:id="149"/>
    <w:bookmarkStart w:name="z176" w:id="150"/>
    <w:p>
      <w:pPr>
        <w:spacing w:after="0"/>
        <w:ind w:left="0"/>
        <w:jc w:val="both"/>
      </w:pPr>
      <w:r>
        <w:rPr>
          <w:rFonts w:ascii="Times New Roman"/>
          <w:b w:val="false"/>
          <w:i w:val="false"/>
          <w:color w:val="000000"/>
          <w:sz w:val="28"/>
        </w:rPr>
        <w:t>
      14) получатели пенсионных выплат, от имени которых выступают их представители по доверенности.".</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октября 2020 года № 96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 (зарегистрировано в Реестре государственной регистрации нормативных правовых актов под № 21433)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80" w:id="151"/>
    <w:p>
      <w:pPr>
        <w:spacing w:after="0"/>
        <w:ind w:left="0"/>
        <w:jc w:val="both"/>
      </w:pPr>
      <w:r>
        <w:rPr>
          <w:rFonts w:ascii="Times New Roman"/>
          <w:b w:val="false"/>
          <w:i w:val="false"/>
          <w:color w:val="000000"/>
          <w:sz w:val="28"/>
        </w:rPr>
        <w:t>
      "16. Типы клиентов, чей статус и (или) чья деятельность повышают риск ОД/ФТ, включают, но не ограничиваются:</w:t>
      </w:r>
    </w:p>
    <w:bookmarkEnd w:id="151"/>
    <w:bookmarkStart w:name="z181" w:id="152"/>
    <w:p>
      <w:pPr>
        <w:spacing w:after="0"/>
        <w:ind w:left="0"/>
        <w:jc w:val="both"/>
      </w:pPr>
      <w:r>
        <w:rPr>
          <w:rFonts w:ascii="Times New Roman"/>
          <w:b w:val="false"/>
          <w:i w:val="false"/>
          <w:color w:val="000000"/>
          <w:sz w:val="28"/>
        </w:rPr>
        <w:t>
      1) публичные должностные лица, их супруги и близкие родственники;</w:t>
      </w:r>
    </w:p>
    <w:bookmarkEnd w:id="152"/>
    <w:bookmarkStart w:name="z182" w:id="153"/>
    <w:p>
      <w:pPr>
        <w:spacing w:after="0"/>
        <w:ind w:left="0"/>
        <w:jc w:val="both"/>
      </w:pPr>
      <w:r>
        <w:rPr>
          <w:rFonts w:ascii="Times New Roman"/>
          <w:b w:val="false"/>
          <w:i w:val="false"/>
          <w:color w:val="000000"/>
          <w:sz w:val="28"/>
        </w:rPr>
        <w:t>
      2) иностранные финансовые организации;</w:t>
      </w:r>
    </w:p>
    <w:bookmarkEnd w:id="153"/>
    <w:bookmarkStart w:name="z183" w:id="154"/>
    <w:p>
      <w:pPr>
        <w:spacing w:after="0"/>
        <w:ind w:left="0"/>
        <w:jc w:val="both"/>
      </w:pPr>
      <w:r>
        <w:rPr>
          <w:rFonts w:ascii="Times New Roman"/>
          <w:b w:val="false"/>
          <w:i w:val="false"/>
          <w:color w:val="000000"/>
          <w:sz w:val="28"/>
        </w:rPr>
        <w:t>
      3) юридические лица и индивидуальные предприниматели, деятельность которых связана с интенсивным оборотом наличных денег, в том числе:</w:t>
      </w:r>
    </w:p>
    <w:bookmarkEnd w:id="154"/>
    <w:bookmarkStart w:name="z184" w:id="155"/>
    <w:p>
      <w:pPr>
        <w:spacing w:after="0"/>
        <w:ind w:left="0"/>
        <w:jc w:val="both"/>
      </w:pPr>
      <w:r>
        <w:rPr>
          <w:rFonts w:ascii="Times New Roman"/>
          <w:b w:val="false"/>
          <w:i w:val="false"/>
          <w:color w:val="000000"/>
          <w:sz w:val="28"/>
        </w:rPr>
        <w:t>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155"/>
    <w:bookmarkStart w:name="z185" w:id="156"/>
    <w:p>
      <w:pPr>
        <w:spacing w:after="0"/>
        <w:ind w:left="0"/>
        <w:jc w:val="both"/>
      </w:pPr>
      <w:r>
        <w:rPr>
          <w:rFonts w:ascii="Times New Roman"/>
          <w:b w:val="false"/>
          <w:i w:val="false"/>
          <w:color w:val="000000"/>
          <w:sz w:val="28"/>
        </w:rPr>
        <w:t>
      организации, исключительной деятельностью которых является инкассация банкнот, монет и ценностей (за исключением дочерних организаций банков второго уровня, которые соблюдают требования по ПОД/ФТ, установленные банками второго уровня);</w:t>
      </w:r>
    </w:p>
    <w:bookmarkEnd w:id="156"/>
    <w:bookmarkStart w:name="z186" w:id="157"/>
    <w:p>
      <w:pPr>
        <w:spacing w:after="0"/>
        <w:ind w:left="0"/>
        <w:jc w:val="both"/>
      </w:pPr>
      <w:r>
        <w:rPr>
          <w:rFonts w:ascii="Times New Roman"/>
          <w:b w:val="false"/>
          <w:i w:val="false"/>
          <w:color w:val="000000"/>
          <w:sz w:val="28"/>
        </w:rPr>
        <w:t>
      организации, осуществляющие микрофинансовую деятельность;</w:t>
      </w:r>
    </w:p>
    <w:bookmarkEnd w:id="157"/>
    <w:bookmarkStart w:name="z187" w:id="158"/>
    <w:p>
      <w:pPr>
        <w:spacing w:after="0"/>
        <w:ind w:left="0"/>
        <w:jc w:val="both"/>
      </w:pPr>
      <w:r>
        <w:rPr>
          <w:rFonts w:ascii="Times New Roman"/>
          <w:b w:val="false"/>
          <w:i w:val="false"/>
          <w:color w:val="000000"/>
          <w:sz w:val="28"/>
        </w:rPr>
        <w:t>
      юридические лица, зарегистрированные в качестве ломбардов;</w:t>
      </w:r>
    </w:p>
    <w:bookmarkEnd w:id="158"/>
    <w:bookmarkStart w:name="z188" w:id="159"/>
    <w:p>
      <w:pPr>
        <w:spacing w:after="0"/>
        <w:ind w:left="0"/>
        <w:jc w:val="both"/>
      </w:pPr>
      <w:r>
        <w:rPr>
          <w:rFonts w:ascii="Times New Roman"/>
          <w:b w:val="false"/>
          <w:i w:val="false"/>
          <w:color w:val="000000"/>
          <w:sz w:val="28"/>
        </w:rPr>
        <w:t>
      агенты (поверенные) поставщиков услуг (кроме финансовых), осуществляющие прием от потребителей наличных денег, в том числе через электронные терминалы;</w:t>
      </w:r>
    </w:p>
    <w:bookmarkEnd w:id="159"/>
    <w:bookmarkStart w:name="z189" w:id="160"/>
    <w:p>
      <w:pPr>
        <w:spacing w:after="0"/>
        <w:ind w:left="0"/>
        <w:jc w:val="both"/>
      </w:pPr>
      <w:r>
        <w:rPr>
          <w:rFonts w:ascii="Times New Roman"/>
          <w:b w:val="false"/>
          <w:i w:val="false"/>
          <w:color w:val="000000"/>
          <w:sz w:val="28"/>
        </w:rPr>
        <w:t>
      организаторы игорного бизнеса, а также лица, предоставляющие услуги либо получающие доходы от деятельности онлайн-казино за пределами Республики Казахстан;</w:t>
      </w:r>
    </w:p>
    <w:bookmarkEnd w:id="160"/>
    <w:bookmarkStart w:name="z190" w:id="161"/>
    <w:p>
      <w:pPr>
        <w:spacing w:after="0"/>
        <w:ind w:left="0"/>
        <w:jc w:val="both"/>
      </w:pPr>
      <w:r>
        <w:rPr>
          <w:rFonts w:ascii="Times New Roman"/>
          <w:b w:val="false"/>
          <w:i w:val="false"/>
          <w:color w:val="000000"/>
          <w:sz w:val="28"/>
        </w:rPr>
        <w:t>
      лица, предоставляющие туристские услуги, а также иные услуги, связанные с интенсивным оборотом наличных денег;</w:t>
      </w:r>
    </w:p>
    <w:bookmarkEnd w:id="161"/>
    <w:bookmarkStart w:name="z191" w:id="162"/>
    <w:p>
      <w:pPr>
        <w:spacing w:after="0"/>
        <w:ind w:left="0"/>
        <w:jc w:val="both"/>
      </w:pPr>
      <w:r>
        <w:rPr>
          <w:rFonts w:ascii="Times New Roman"/>
          <w:b w:val="false"/>
          <w:i w:val="false"/>
          <w:color w:val="000000"/>
          <w:sz w:val="28"/>
        </w:rPr>
        <w:t>
      4) лица, предоставляющие услуги по финансовому лизингу (за исключением дочерних организаций банков второго уровня, которые соблюдают требования по ПОД/ФТ, установленные банками второго уровня);</w:t>
      </w:r>
    </w:p>
    <w:bookmarkEnd w:id="162"/>
    <w:bookmarkStart w:name="z192" w:id="163"/>
    <w:p>
      <w:pPr>
        <w:spacing w:after="0"/>
        <w:ind w:left="0"/>
        <w:jc w:val="both"/>
      </w:pPr>
      <w:r>
        <w:rPr>
          <w:rFonts w:ascii="Times New Roman"/>
          <w:b w:val="false"/>
          <w:i w:val="false"/>
          <w:color w:val="000000"/>
          <w:sz w:val="28"/>
        </w:rPr>
        <w:t>
      5) лица, осуществляющие выпуск и обращение обеспеченных цифровых активов;</w:t>
      </w:r>
    </w:p>
    <w:bookmarkEnd w:id="163"/>
    <w:bookmarkStart w:name="z193" w:id="164"/>
    <w:p>
      <w:pPr>
        <w:spacing w:after="0"/>
        <w:ind w:left="0"/>
        <w:jc w:val="both"/>
      </w:pPr>
      <w:r>
        <w:rPr>
          <w:rFonts w:ascii="Times New Roman"/>
          <w:b w:val="false"/>
          <w:i w:val="false"/>
          <w:color w:val="000000"/>
          <w:sz w:val="28"/>
        </w:rPr>
        <w:t>
      6) лица, осуществляющие выпуск и оборот необеспеченных цифровых активов на территории Международного финансового центра "Астана";</w:t>
      </w:r>
    </w:p>
    <w:bookmarkEnd w:id="164"/>
    <w:bookmarkStart w:name="z194" w:id="165"/>
    <w:p>
      <w:pPr>
        <w:spacing w:after="0"/>
        <w:ind w:left="0"/>
        <w:jc w:val="both"/>
      </w:pPr>
      <w:r>
        <w:rPr>
          <w:rFonts w:ascii="Times New Roman"/>
          <w:b w:val="false"/>
          <w:i w:val="false"/>
          <w:color w:val="000000"/>
          <w:sz w:val="28"/>
        </w:rPr>
        <w:t>
      7) кредитные товарищества;</w:t>
      </w:r>
    </w:p>
    <w:bookmarkEnd w:id="165"/>
    <w:bookmarkStart w:name="z195" w:id="166"/>
    <w:p>
      <w:pPr>
        <w:spacing w:after="0"/>
        <w:ind w:left="0"/>
        <w:jc w:val="both"/>
      </w:pPr>
      <w:r>
        <w:rPr>
          <w:rFonts w:ascii="Times New Roman"/>
          <w:b w:val="false"/>
          <w:i w:val="false"/>
          <w:color w:val="000000"/>
          <w:sz w:val="28"/>
        </w:rPr>
        <w:t>
      8) лица, осуществляющие посредническую деятельность по купле-продаже недвижимости;</w:t>
      </w:r>
    </w:p>
    <w:bookmarkEnd w:id="166"/>
    <w:bookmarkStart w:name="z196" w:id="167"/>
    <w:p>
      <w:pPr>
        <w:spacing w:after="0"/>
        <w:ind w:left="0"/>
        <w:jc w:val="both"/>
      </w:pPr>
      <w:r>
        <w:rPr>
          <w:rFonts w:ascii="Times New Roman"/>
          <w:b w:val="false"/>
          <w:i w:val="false"/>
          <w:color w:val="000000"/>
          <w:sz w:val="28"/>
        </w:rPr>
        <w:t>
      9) лица, деятельность которых связана с производством и (или) торговлей оружием, взрывчатыми веществами;</w:t>
      </w:r>
    </w:p>
    <w:bookmarkEnd w:id="167"/>
    <w:bookmarkStart w:name="z197" w:id="168"/>
    <w:p>
      <w:pPr>
        <w:spacing w:after="0"/>
        <w:ind w:left="0"/>
        <w:jc w:val="both"/>
      </w:pPr>
      <w:r>
        <w:rPr>
          <w:rFonts w:ascii="Times New Roman"/>
          <w:b w:val="false"/>
          <w:i w:val="false"/>
          <w:color w:val="000000"/>
          <w:sz w:val="28"/>
        </w:rPr>
        <w:t>
      10) лица, деятельность которых связана с добычей и (или) обработкой, а также куплей-продажей драгоценных металлов, драгоценных камней либо изделий из них;</w:t>
      </w:r>
    </w:p>
    <w:bookmarkEnd w:id="168"/>
    <w:bookmarkStart w:name="z198" w:id="169"/>
    <w:p>
      <w:pPr>
        <w:spacing w:after="0"/>
        <w:ind w:left="0"/>
        <w:jc w:val="both"/>
      </w:pPr>
      <w:r>
        <w:rPr>
          <w:rFonts w:ascii="Times New Roman"/>
          <w:b w:val="false"/>
          <w:i w:val="false"/>
          <w:color w:val="000000"/>
          <w:sz w:val="28"/>
        </w:rPr>
        <w:t>
      11) некоммерческие организации в организационно-правовой форме фондов, религиозных объединений;</w:t>
      </w:r>
    </w:p>
    <w:bookmarkEnd w:id="169"/>
    <w:bookmarkStart w:name="z199" w:id="170"/>
    <w:p>
      <w:pPr>
        <w:spacing w:after="0"/>
        <w:ind w:left="0"/>
        <w:jc w:val="both"/>
      </w:pPr>
      <w:r>
        <w:rPr>
          <w:rFonts w:ascii="Times New Roman"/>
          <w:b w:val="false"/>
          <w:i w:val="false"/>
          <w:color w:val="000000"/>
          <w:sz w:val="28"/>
        </w:rPr>
        <w:t>
      12) лица, расположенные (зарегистрированные) в иностранных государствах, указанных в пункте 18 Требований, а также расположенные в Республике Казахстан филиалы и представительства таких лиц.".</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12 октября 2020 года № 97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страховых (перестраховочных) организаций, страховых брокеров, обществ взаимного страхования, Экспортно-кредитного агентства Казахстана, филиалов страховых (перестраховочных) организаций-нерезидентов Республики Казахстан и филиалов страховых брокеров-нерезидентов Республики Казахстан" (зарегистрировано в Реестре государственной регистрации нормативных правовых актов под № 21425)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страховых (перестраховочных) организаций, страховых брокеров, обществ взаимного страхования, Экспортно-кредитного агентства Казахстана, филиалов страховых (перестраховочных) организаций-нерезидентов Республики Казахстан и филиалов страховых брокеров-нерезидентов Республики Казахстан,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03" w:id="171"/>
    <w:p>
      <w:pPr>
        <w:spacing w:after="0"/>
        <w:ind w:left="0"/>
        <w:jc w:val="both"/>
      </w:pPr>
      <w:r>
        <w:rPr>
          <w:rFonts w:ascii="Times New Roman"/>
          <w:b w:val="false"/>
          <w:i w:val="false"/>
          <w:color w:val="000000"/>
          <w:sz w:val="28"/>
        </w:rPr>
        <w:t>
      "15. Типы клиентов, чей статус и (или) чья деятельность повышают риск ОД/ФТ, включают, но не ограничиваются:</w:t>
      </w:r>
    </w:p>
    <w:bookmarkEnd w:id="171"/>
    <w:bookmarkStart w:name="z204" w:id="172"/>
    <w:p>
      <w:pPr>
        <w:spacing w:after="0"/>
        <w:ind w:left="0"/>
        <w:jc w:val="both"/>
      </w:pPr>
      <w:r>
        <w:rPr>
          <w:rFonts w:ascii="Times New Roman"/>
          <w:b w:val="false"/>
          <w:i w:val="false"/>
          <w:color w:val="000000"/>
          <w:sz w:val="28"/>
        </w:rPr>
        <w:t>
      1) публичное должностное лицо, его супруга (супруг) и близкие родственники;</w:t>
      </w:r>
    </w:p>
    <w:bookmarkEnd w:id="172"/>
    <w:bookmarkStart w:name="z205" w:id="173"/>
    <w:p>
      <w:pPr>
        <w:spacing w:after="0"/>
        <w:ind w:left="0"/>
        <w:jc w:val="both"/>
      </w:pPr>
      <w:r>
        <w:rPr>
          <w:rFonts w:ascii="Times New Roman"/>
          <w:b w:val="false"/>
          <w:i w:val="false"/>
          <w:color w:val="000000"/>
          <w:sz w:val="28"/>
        </w:rPr>
        <w:t>
      2) иностранные перестрахователи (цеденты) в случае, если сделка по перестрахованию заключается без участия страхового брокера и такие иностранные перестрахователи (цеденты) не имеют рейтинга финансовой надежности или кредитного рейтинга, присвоенного рейтинговыми агентствами, одобренными нормативными правовыми актами уполномоченного органа по регулированию, контролю и надзору финансового рынка и финансовых организаций;</w:t>
      </w:r>
    </w:p>
    <w:bookmarkEnd w:id="173"/>
    <w:bookmarkStart w:name="z206" w:id="174"/>
    <w:p>
      <w:pPr>
        <w:spacing w:after="0"/>
        <w:ind w:left="0"/>
        <w:jc w:val="both"/>
      </w:pPr>
      <w:r>
        <w:rPr>
          <w:rFonts w:ascii="Times New Roman"/>
          <w:b w:val="false"/>
          <w:i w:val="false"/>
          <w:color w:val="000000"/>
          <w:sz w:val="28"/>
        </w:rPr>
        <w:t>
      3) иностранные страховые брокеры (за исключением имеющих дочернюю организацию в Республике Казахстан, имеющую лицензию уполномоченного органа по регулированию, контролю и надзору финансового рынка и финансовых организаций на осуществление страховой брокерской деятельности и соблюдающую требования по ПОД/ФТ);</w:t>
      </w:r>
    </w:p>
    <w:bookmarkEnd w:id="174"/>
    <w:bookmarkStart w:name="z207" w:id="175"/>
    <w:p>
      <w:pPr>
        <w:spacing w:after="0"/>
        <w:ind w:left="0"/>
        <w:jc w:val="both"/>
      </w:pPr>
      <w:r>
        <w:rPr>
          <w:rFonts w:ascii="Times New Roman"/>
          <w:b w:val="false"/>
          <w:i w:val="false"/>
          <w:color w:val="000000"/>
          <w:sz w:val="28"/>
        </w:rPr>
        <w:t>
      4) юридические лица и индивидуальные предприниматели, деятельность которых связана с интенсивным оборотом наличных денег, в том числе:</w:t>
      </w:r>
    </w:p>
    <w:bookmarkEnd w:id="175"/>
    <w:bookmarkStart w:name="z208" w:id="176"/>
    <w:p>
      <w:pPr>
        <w:spacing w:after="0"/>
        <w:ind w:left="0"/>
        <w:jc w:val="both"/>
      </w:pPr>
      <w:r>
        <w:rPr>
          <w:rFonts w:ascii="Times New Roman"/>
          <w:b w:val="false"/>
          <w:i w:val="false"/>
          <w:color w:val="000000"/>
          <w:sz w:val="28"/>
        </w:rPr>
        <w:t>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176"/>
    <w:bookmarkStart w:name="z209" w:id="177"/>
    <w:p>
      <w:pPr>
        <w:spacing w:after="0"/>
        <w:ind w:left="0"/>
        <w:jc w:val="both"/>
      </w:pPr>
      <w:r>
        <w:rPr>
          <w:rFonts w:ascii="Times New Roman"/>
          <w:b w:val="false"/>
          <w:i w:val="false"/>
          <w:color w:val="000000"/>
          <w:sz w:val="28"/>
        </w:rPr>
        <w:t>
      организации, исключительной деятельностью которых является инкассация банкнот, монет и ценностей (за исключением дочерних организаций банков второго уровня, которые соблюдают требования по ПОД/ФТ, установленные банками второго уровня);</w:t>
      </w:r>
    </w:p>
    <w:bookmarkEnd w:id="177"/>
    <w:bookmarkStart w:name="z210" w:id="178"/>
    <w:p>
      <w:pPr>
        <w:spacing w:after="0"/>
        <w:ind w:left="0"/>
        <w:jc w:val="both"/>
      </w:pPr>
      <w:r>
        <w:rPr>
          <w:rFonts w:ascii="Times New Roman"/>
          <w:b w:val="false"/>
          <w:i w:val="false"/>
          <w:color w:val="000000"/>
          <w:sz w:val="28"/>
        </w:rPr>
        <w:t>
      организации, осуществляющие микрофинансовую деятельность;</w:t>
      </w:r>
    </w:p>
    <w:bookmarkEnd w:id="178"/>
    <w:bookmarkStart w:name="z211" w:id="179"/>
    <w:p>
      <w:pPr>
        <w:spacing w:after="0"/>
        <w:ind w:left="0"/>
        <w:jc w:val="both"/>
      </w:pPr>
      <w:r>
        <w:rPr>
          <w:rFonts w:ascii="Times New Roman"/>
          <w:b w:val="false"/>
          <w:i w:val="false"/>
          <w:color w:val="000000"/>
          <w:sz w:val="28"/>
        </w:rPr>
        <w:t>
      агенты (поверенные) поставщиков услуг (кроме финансовых), осуществляющие прием от потребителей наличных денег, в том числе через электронные терминалы;</w:t>
      </w:r>
    </w:p>
    <w:bookmarkEnd w:id="179"/>
    <w:bookmarkStart w:name="z212" w:id="180"/>
    <w:p>
      <w:pPr>
        <w:spacing w:after="0"/>
        <w:ind w:left="0"/>
        <w:jc w:val="both"/>
      </w:pPr>
      <w:r>
        <w:rPr>
          <w:rFonts w:ascii="Times New Roman"/>
          <w:b w:val="false"/>
          <w:i w:val="false"/>
          <w:color w:val="000000"/>
          <w:sz w:val="28"/>
        </w:rPr>
        <w:t>
      организаторы игорного бизнеса, а также лица, предоставляющие услуги либо получающие доходы от деятельности онлайн-казино за пределами Республики Казахстан;</w:t>
      </w:r>
    </w:p>
    <w:bookmarkEnd w:id="180"/>
    <w:bookmarkStart w:name="z213" w:id="181"/>
    <w:p>
      <w:pPr>
        <w:spacing w:after="0"/>
        <w:ind w:left="0"/>
        <w:jc w:val="both"/>
      </w:pPr>
      <w:r>
        <w:rPr>
          <w:rFonts w:ascii="Times New Roman"/>
          <w:b w:val="false"/>
          <w:i w:val="false"/>
          <w:color w:val="000000"/>
          <w:sz w:val="28"/>
        </w:rPr>
        <w:t>
      лица, предоставляющие туристские услуги;</w:t>
      </w:r>
    </w:p>
    <w:bookmarkEnd w:id="181"/>
    <w:bookmarkStart w:name="z214" w:id="182"/>
    <w:p>
      <w:pPr>
        <w:spacing w:after="0"/>
        <w:ind w:left="0"/>
        <w:jc w:val="both"/>
      </w:pPr>
      <w:r>
        <w:rPr>
          <w:rFonts w:ascii="Times New Roman"/>
          <w:b w:val="false"/>
          <w:i w:val="false"/>
          <w:color w:val="000000"/>
          <w:sz w:val="28"/>
        </w:rPr>
        <w:t>
      5) лица, предоставляющие услуги по финансовому лизингу (за исключением дочерних организаций банков второго уровня, которые соблюдают требования по ПОД/ФТ, установленные банками второго уровня);</w:t>
      </w:r>
    </w:p>
    <w:bookmarkEnd w:id="182"/>
    <w:bookmarkStart w:name="z215" w:id="183"/>
    <w:p>
      <w:pPr>
        <w:spacing w:after="0"/>
        <w:ind w:left="0"/>
        <w:jc w:val="both"/>
      </w:pPr>
      <w:r>
        <w:rPr>
          <w:rFonts w:ascii="Times New Roman"/>
          <w:b w:val="false"/>
          <w:i w:val="false"/>
          <w:color w:val="000000"/>
          <w:sz w:val="28"/>
        </w:rPr>
        <w:t>
      6) лица, осуществляющие посредническую деятельность по купле-продаже недвижимости;</w:t>
      </w:r>
    </w:p>
    <w:bookmarkEnd w:id="183"/>
    <w:bookmarkStart w:name="z216" w:id="184"/>
    <w:p>
      <w:pPr>
        <w:spacing w:after="0"/>
        <w:ind w:left="0"/>
        <w:jc w:val="both"/>
      </w:pPr>
      <w:r>
        <w:rPr>
          <w:rFonts w:ascii="Times New Roman"/>
          <w:b w:val="false"/>
          <w:i w:val="false"/>
          <w:color w:val="000000"/>
          <w:sz w:val="28"/>
        </w:rPr>
        <w:t>
      7) лица, деятельность которых связана с производством и (или) торговлей оружием, взрывчатыми веществами;</w:t>
      </w:r>
    </w:p>
    <w:bookmarkEnd w:id="184"/>
    <w:bookmarkStart w:name="z217" w:id="185"/>
    <w:p>
      <w:pPr>
        <w:spacing w:after="0"/>
        <w:ind w:left="0"/>
        <w:jc w:val="both"/>
      </w:pPr>
      <w:r>
        <w:rPr>
          <w:rFonts w:ascii="Times New Roman"/>
          <w:b w:val="false"/>
          <w:i w:val="false"/>
          <w:color w:val="000000"/>
          <w:sz w:val="28"/>
        </w:rPr>
        <w:t>
      8) лица, деятельность которых связана с добычей и (или) обработкой, а также куплей-продажей драгоценных металлов, драгоценных камней либо изделий из них;</w:t>
      </w:r>
    </w:p>
    <w:bookmarkEnd w:id="185"/>
    <w:bookmarkStart w:name="z218" w:id="186"/>
    <w:p>
      <w:pPr>
        <w:spacing w:after="0"/>
        <w:ind w:left="0"/>
        <w:jc w:val="both"/>
      </w:pPr>
      <w:r>
        <w:rPr>
          <w:rFonts w:ascii="Times New Roman"/>
          <w:b w:val="false"/>
          <w:i w:val="false"/>
          <w:color w:val="000000"/>
          <w:sz w:val="28"/>
        </w:rPr>
        <w:t>
      9) некоммерческие организации, в организационно-правовой форме фондов, религиозных объединений;</w:t>
      </w:r>
    </w:p>
    <w:bookmarkEnd w:id="186"/>
    <w:bookmarkStart w:name="z219" w:id="187"/>
    <w:p>
      <w:pPr>
        <w:spacing w:after="0"/>
        <w:ind w:left="0"/>
        <w:jc w:val="both"/>
      </w:pPr>
      <w:r>
        <w:rPr>
          <w:rFonts w:ascii="Times New Roman"/>
          <w:b w:val="false"/>
          <w:i w:val="false"/>
          <w:color w:val="000000"/>
          <w:sz w:val="28"/>
        </w:rPr>
        <w:t>
      10) лица, расположенные (зарегистрированные) в иностранных государствах и (или) внутренних территориях, указанных в пункте 17 Требований, а также расположенные в Республике Казахстан филиалы и представительства таких лиц;</w:t>
      </w:r>
    </w:p>
    <w:bookmarkEnd w:id="187"/>
    <w:bookmarkStart w:name="z220" w:id="188"/>
    <w:p>
      <w:pPr>
        <w:spacing w:after="0"/>
        <w:ind w:left="0"/>
        <w:jc w:val="both"/>
      </w:pPr>
      <w:r>
        <w:rPr>
          <w:rFonts w:ascii="Times New Roman"/>
          <w:b w:val="false"/>
          <w:i w:val="false"/>
          <w:color w:val="000000"/>
          <w:sz w:val="28"/>
        </w:rPr>
        <w:t>
      11) при наличии сомнений в достоверности представленных клиентом сведений;</w:t>
      </w:r>
    </w:p>
    <w:bookmarkEnd w:id="188"/>
    <w:bookmarkStart w:name="z221" w:id="189"/>
    <w:p>
      <w:pPr>
        <w:spacing w:after="0"/>
        <w:ind w:left="0"/>
        <w:jc w:val="both"/>
      </w:pPr>
      <w:r>
        <w:rPr>
          <w:rFonts w:ascii="Times New Roman"/>
          <w:b w:val="false"/>
          <w:i w:val="false"/>
          <w:color w:val="000000"/>
          <w:sz w:val="28"/>
        </w:rPr>
        <w:t>
      12) совершение клиентом действий, направленных на уклонение от процедур надлежащей проверки клиента, предусмотренных Законом о ПОД/ФТ;</w:t>
      </w:r>
    </w:p>
    <w:bookmarkEnd w:id="189"/>
    <w:bookmarkStart w:name="z222" w:id="190"/>
    <w:p>
      <w:pPr>
        <w:spacing w:after="0"/>
        <w:ind w:left="0"/>
        <w:jc w:val="both"/>
      </w:pPr>
      <w:r>
        <w:rPr>
          <w:rFonts w:ascii="Times New Roman"/>
          <w:b w:val="false"/>
          <w:i w:val="false"/>
          <w:color w:val="000000"/>
          <w:sz w:val="28"/>
        </w:rPr>
        <w:t>
      13) лица, осуществляющие выпуск и обращение обеспеченных цифровых активов;</w:t>
      </w:r>
    </w:p>
    <w:bookmarkEnd w:id="190"/>
    <w:bookmarkStart w:name="z223" w:id="191"/>
    <w:p>
      <w:pPr>
        <w:spacing w:after="0"/>
        <w:ind w:left="0"/>
        <w:jc w:val="both"/>
      </w:pPr>
      <w:r>
        <w:rPr>
          <w:rFonts w:ascii="Times New Roman"/>
          <w:b w:val="false"/>
          <w:i w:val="false"/>
          <w:color w:val="000000"/>
          <w:sz w:val="28"/>
        </w:rPr>
        <w:t>
      14) лица, осуществляющие выпуск и оборот необеспеченных цифровых активов на территории Международного финансового центра "Астана".".</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октября 2020 года № 98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фондовой биржи" (зарегистрировано в Реестре государственной регистрации нормативных правовых актов под № 21424)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фондовой биржи,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27" w:id="192"/>
    <w:p>
      <w:pPr>
        <w:spacing w:after="0"/>
        <w:ind w:left="0"/>
        <w:jc w:val="both"/>
      </w:pPr>
      <w:r>
        <w:rPr>
          <w:rFonts w:ascii="Times New Roman"/>
          <w:b w:val="false"/>
          <w:i w:val="false"/>
          <w:color w:val="000000"/>
          <w:sz w:val="28"/>
        </w:rPr>
        <w:t>
      "14. Типы клиентов, чей статус и (или) чья деятельность повышают риск ОД/ФТ, включают, но не ограничиваются:</w:t>
      </w:r>
    </w:p>
    <w:bookmarkEnd w:id="192"/>
    <w:bookmarkStart w:name="z228" w:id="193"/>
    <w:p>
      <w:pPr>
        <w:spacing w:after="0"/>
        <w:ind w:left="0"/>
        <w:jc w:val="both"/>
      </w:pPr>
      <w:r>
        <w:rPr>
          <w:rFonts w:ascii="Times New Roman"/>
          <w:b w:val="false"/>
          <w:i w:val="false"/>
          <w:color w:val="000000"/>
          <w:sz w:val="28"/>
        </w:rPr>
        <w:t>
      1) иностранные финансовые организации;</w:t>
      </w:r>
    </w:p>
    <w:bookmarkEnd w:id="193"/>
    <w:bookmarkStart w:name="z229" w:id="194"/>
    <w:p>
      <w:pPr>
        <w:spacing w:after="0"/>
        <w:ind w:left="0"/>
        <w:jc w:val="both"/>
      </w:pPr>
      <w:r>
        <w:rPr>
          <w:rFonts w:ascii="Times New Roman"/>
          <w:b w:val="false"/>
          <w:i w:val="false"/>
          <w:color w:val="000000"/>
          <w:sz w:val="28"/>
        </w:rPr>
        <w:t>
      2) лица, расположенные (зарегистрированные) в иностранных государствах, указанных в пункте 16 Требований, а также расположенные в Республике Казахстан филиалы и представительства таких лиц.</w:t>
      </w:r>
    </w:p>
    <w:bookmarkEnd w:id="194"/>
    <w:bookmarkStart w:name="z230" w:id="195"/>
    <w:p>
      <w:pPr>
        <w:spacing w:after="0"/>
        <w:ind w:left="0"/>
        <w:jc w:val="both"/>
      </w:pPr>
      <w:r>
        <w:rPr>
          <w:rFonts w:ascii="Times New Roman"/>
          <w:b w:val="false"/>
          <w:i w:val="false"/>
          <w:color w:val="000000"/>
          <w:sz w:val="28"/>
        </w:rPr>
        <w:t>
      3) лица, осуществляющие выпуск и обращение обеспеченных цифровых активов;</w:t>
      </w:r>
    </w:p>
    <w:bookmarkEnd w:id="195"/>
    <w:bookmarkStart w:name="z231" w:id="196"/>
    <w:p>
      <w:pPr>
        <w:spacing w:after="0"/>
        <w:ind w:left="0"/>
        <w:jc w:val="both"/>
      </w:pPr>
      <w:r>
        <w:rPr>
          <w:rFonts w:ascii="Times New Roman"/>
          <w:b w:val="false"/>
          <w:i w:val="false"/>
          <w:color w:val="000000"/>
          <w:sz w:val="28"/>
        </w:rPr>
        <w:t>
      4) лица, осуществляющие выпуск и оборот необеспеченных цифровых активов на территории Международного финансового центра "Астана".".</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29 октября 2020 года № 105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организаций, осуществляющих отдельные виды банковских операций, за исключением оператора или операционного центра межбанковской системы переводов денег, а также юридических лиц, исключительной деятельностью которых является инкассация банкнот, монет и ценностей, и организаций, осуществляющих микрофинансовую деятельность" (зарегистрировано в Реестре государственной регистрации нормативных правовых актов под № 21577)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организаций, осуществляющих отдельные виды банковских операций, за исключением оператора или операционного центра межбанковской системы переводов денег, а также юридических лиц, исключительной деятельностью которых является инкассация банкнот, монет и ценностей, и организаций, осуществляющих микрофинансовую деятельность,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35" w:id="197"/>
    <w:p>
      <w:pPr>
        <w:spacing w:after="0"/>
        <w:ind w:left="0"/>
        <w:jc w:val="both"/>
      </w:pPr>
      <w:r>
        <w:rPr>
          <w:rFonts w:ascii="Times New Roman"/>
          <w:b w:val="false"/>
          <w:i w:val="false"/>
          <w:color w:val="000000"/>
          <w:sz w:val="28"/>
        </w:rPr>
        <w:t>
      "15. Типы клиентов, чей статус и (или) чья деятельность повышают риск ОД/ФТ, включают, но не ограничиваются:</w:t>
      </w:r>
    </w:p>
    <w:bookmarkEnd w:id="197"/>
    <w:bookmarkStart w:name="z236" w:id="198"/>
    <w:p>
      <w:pPr>
        <w:spacing w:after="0"/>
        <w:ind w:left="0"/>
        <w:jc w:val="both"/>
      </w:pPr>
      <w:r>
        <w:rPr>
          <w:rFonts w:ascii="Times New Roman"/>
          <w:b w:val="false"/>
          <w:i w:val="false"/>
          <w:color w:val="000000"/>
          <w:sz w:val="28"/>
        </w:rPr>
        <w:t>
      1) публичное должностное лицо, его супруга (супруг) и близкие родственники;</w:t>
      </w:r>
    </w:p>
    <w:bookmarkEnd w:id="198"/>
    <w:bookmarkStart w:name="z237" w:id="199"/>
    <w:p>
      <w:pPr>
        <w:spacing w:after="0"/>
        <w:ind w:left="0"/>
        <w:jc w:val="both"/>
      </w:pPr>
      <w:r>
        <w:rPr>
          <w:rFonts w:ascii="Times New Roman"/>
          <w:b w:val="false"/>
          <w:i w:val="false"/>
          <w:color w:val="000000"/>
          <w:sz w:val="28"/>
        </w:rPr>
        <w:t>
      2) лица, расположенные (зарегистрированные) в иностранных государствах, указанных в пункте 16 Требований, а также расположенные в Республике Казахстан филиалы и представительства таких лиц;</w:t>
      </w:r>
    </w:p>
    <w:bookmarkEnd w:id="199"/>
    <w:bookmarkStart w:name="z238" w:id="200"/>
    <w:p>
      <w:pPr>
        <w:spacing w:after="0"/>
        <w:ind w:left="0"/>
        <w:jc w:val="both"/>
      </w:pPr>
      <w:r>
        <w:rPr>
          <w:rFonts w:ascii="Times New Roman"/>
          <w:b w:val="false"/>
          <w:i w:val="false"/>
          <w:color w:val="000000"/>
          <w:sz w:val="28"/>
        </w:rPr>
        <w:t>
      3) некоммерческие и благотворительные организации, религиозные объединения;</w:t>
      </w:r>
    </w:p>
    <w:bookmarkEnd w:id="200"/>
    <w:bookmarkStart w:name="z239" w:id="201"/>
    <w:p>
      <w:pPr>
        <w:spacing w:after="0"/>
        <w:ind w:left="0"/>
        <w:jc w:val="both"/>
      </w:pPr>
      <w:r>
        <w:rPr>
          <w:rFonts w:ascii="Times New Roman"/>
          <w:b w:val="false"/>
          <w:i w:val="false"/>
          <w:color w:val="000000"/>
          <w:sz w:val="28"/>
        </w:rPr>
        <w:t>
      4) лица, осуществляющие выпуск и обращение обеспеченных цифровых активов;</w:t>
      </w:r>
    </w:p>
    <w:bookmarkEnd w:id="201"/>
    <w:bookmarkStart w:name="z240" w:id="202"/>
    <w:p>
      <w:pPr>
        <w:spacing w:after="0"/>
        <w:ind w:left="0"/>
        <w:jc w:val="both"/>
      </w:pPr>
      <w:r>
        <w:rPr>
          <w:rFonts w:ascii="Times New Roman"/>
          <w:b w:val="false"/>
          <w:i w:val="false"/>
          <w:color w:val="000000"/>
          <w:sz w:val="28"/>
        </w:rPr>
        <w:t>
      5) лица, осуществляющие выпуск и оборот необеспеченных цифровых активов на территории Международного финансового центра "Астана".".</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