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4aa2" w14:textId="0dd4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архитектурного облика и градостроительного планирования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августа 2024 года № 212/26-VIII. Зарегистрировано Департаментом юстиции города Астаны 28 августа 2024 года № 1393-01.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Закона Республики Казахстан "Об архитектурной, градостроительной и строительной деятельности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архитектурного облика и градостроительного планирования города Астаны, cогласно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212/26-VIII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архитектурного облика и градостроительного планирования города Астаны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архитектурного облика и градостроительного планирования города Астаны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определяют порядок формирования архитектурного облика и градостроительного планирования города с учетом его исторических, ландшафтно-природных, функциональных, местных особенностей.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генеральный план – градостроительный проект комплексного планирования развития и застройки города, устанавливающий зонирование, планировочную структуру и функциональную организацию их территории, систему транспортных и инженерных коммуникаций, озеленения и благоустройства;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детальной планировки – градостроительная документация, разрабатываемая для отдельных частей территорий и функциональных зон населенных пунктов, а также территорий, расположенных за пределами населенных пунктов;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территория населенного пункта – пространство в пределах установленной границы (черты) города (далее – территория);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индивидуальное жилищное строительство – постройка индивидуальных жилых домов гражданами, на закрепленном за ними в установленном порядке земельном участке, их собственными силами, подрядным или другим, не запрещенным законодательством способом;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– замысел физических и юридических лиц по обеспечению необходимых условий обитания и жизнедеятельности человека, представленный в форме архитектурной, градостроительной и строительной документации (чертежей, графических и текстовых материалов, инженерных и сметных расчетов), в том числе технико-экономического обоснования строительства, и (или) проектно-сметной документации, раскрывающих сущность замысла и возможность его практической реализации;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переоборудование – изменение помещения (помещений), связанное с изменением его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 и эксплуатации;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перепланировка – изменение планировки помещения (помещений), сопряженное с изменением границ этого помещения (этих помещений);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градостроительные регламенты – режимы, разрешения, ограничения (включая обременения, запрещения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регламенты устанавливаются градостроительной и архитектурно-строительной документацией, выполненной в соответствии с государственными нормативами. Действие градостроительных регламентов ограничивается в пределах установленного для них срока;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территория градостроительного регулирования – территория, в пределах которой осуществляется какая-либо архитектурная, градостроительная и строительная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–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реконструкция –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эскиз (эскизный проект) –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архитектурный облик – это свод норм и рекомендаций, регламентирующих обязательную визуальную составляющую элементов городского пространства: фасадов зданий и сооружений, благоустройства, вывесок, указателей, малых архитектурных форм и других элементов городской инфраструктуры, направленных на формирование целостной эстетичной архитектуры, комфортной, доступной и безопасной городской среды.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настоящих Правил являются: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комплексного подхода и развитие качественной городской среды, соответствующей современным потребностям жителей города;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архитектурными и градостроительными инструментами процесса системного и устойчивого развития всей территории города.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архитектурного облика и градостроительного планирования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архитектурного облика и градостроительного планирования города необходимо: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комплексной безопасности территории и ее защиты от воздействия чрезвычайных ситуаций природного и техногенного характера;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компактное размещение и обеспечение соединения функциональных зон с системой общественных центров, объектами социального и повседневного обеспечения, инженерной и транспортной инфраструктурой с учетом требований шаговой доступности;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на территории города нормативно-технических требований, генерального плана города;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проектирования общественных пространств, реконструкций улиц в соответствии с генеральным планом города;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развития города по принципу полицентричности, комплексной и компактной застройки.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зонам особого градостроительного регулирования в городе Астане относятся территории, установленные генеральным планом города, в том числе по использованию земель, существующих объектов недвижимости исходя из общественных, градостроительных, экономических, экологических, рекреационных, культурных, исторических и других факторов, влияющих на устойчивое развитие территории города.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 к застройке в зонах особого градостроительного регулирования: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особенности по плотности и коэффициенту застройки;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допустимая этажность в соответствии с высотным регламентом, устанавливаемый государственными нормативами в области архитектуры, градостроительства и строительства, нормативно-техническими документами и настоящими Правилами;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в охранной зоне памятников истории и архитектуры;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архитектурные решения фасадов зданий и сооружений.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зонам особого градостроительного регулирования относятся охранные зоны памятников истории и культуры.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границах охранных зон памятников истории и культуры подлежат сохранению или восстановлению все градостроительные объекты и их характеристики, культурная ценность.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границах охранных зон памятников истории и культуры не допускается нарушение структуры и стиля исторических зданий, пропорций и высотности.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превышение максимально допустимой высоты, равно как и превышение средней высотности окружающей застройки, нарушение масштаба архитектурного решения в охранных зонах памятников истории и культуры в радиусе до 50 метров.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условий устойчивого развития территории, формирования качественной и комфортной среды на территории города применяется минимальная и максимальная плотность населения на 1 гектар, в зависимости от функционального зонирования, существующей градостроительной ситуации.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Плотность населения на территории города для застройки рассчитывается в порядке с государственными нормативами в области архитектуры, градостроительства и строительства, с учетом оценки стоимости земли, ресурсных возможностей инженерных и транспортных коммуникаций, наличия достаточных мест на объектах социального назначения в шаговой доступности, наличия историко-культурных и архитектурно-ландшафтных ценностей, согласно СНиП РК 3.01-01Ас-2007 "Планировка и застройка города Астаны" таблицы 6.2, 6.3, 6,4, таблицы П3.1.2, П3.1.4, П3.1.6, П3.1.8.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Границы расчетной территории требуется устанавливать по красным линиям границам участков застройки по осям межквартальных проездов, пешеходных путей или естественным рубежам, а при их отсутствии – на расстоянии 3 метров от линии застройки.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Среднюю жилищную обеспеченность для расчета плотности, нового строительства на территории города применять не менее 15 квадратных метров на одного человека.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допускается увеличивать на 20 процентов при соблюдении следующих одновременных условий: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встроенно-пристроенных детских садов и дошкольных учреждений на территории;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достаточного уровня обеспеченности в шаговой доступности местами в школах начального и среднего образования;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придомовой территории 10 квадратных метров на одного жителя (с учетом площадок для хозяйственных и рекреационных нужд, парковок, благоустройства и озеленения).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застройки принимать в соответствии с государственными нормативами в области архитектуры, градостроительства и строительства;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транспортной доступности, подземных или многоуровневых паркингов;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открытых зеленых зон на территориях в рамках нормативной обеспеченности в шаговой доступности;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достаточной инженерной инфраструктуры, необходимой для строительства и устойчивого функционирования, введенного впоследствии в эксплуатацию объекта;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нормативных правовых актов в сфере санитарно-эпидемиологического благополучия населения, нормативных актов и нормативных технических документов в сфере гражданской защиты;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объектов повседневного обслуживания в радиусе не более 500 метров;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параметров целевого назначения коммерческих помещений в жилых домах на моменте проектирования здания с подведением и обеспечением отдельных въездных путей, входов и соответствующей инфраструктуры согласно параметров целевого назначения.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маслихата города Астаны от 14.02.2025 </w:t>
      </w:r>
      <w:r>
        <w:rPr>
          <w:rFonts w:ascii="Times New Roman"/>
          <w:b w:val="false"/>
          <w:i w:val="false"/>
          <w:color w:val="000000"/>
          <w:sz w:val="28"/>
        </w:rPr>
        <w:t>№ 267/34-VIII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Минимальная величина разрывов (бытовые расстояния) между длинными сторонами многоквартирных жилых зданий линейного типа: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застройке домами: 4-5 этажей – не менее 20 метров;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застройке домами: 6-12 этажей – не менее 30 метров;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застройке домами: 13-16 этажей – не менее 48 метров;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застройке домами: 17 этажей и выше – не менее 50 метров.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минимальная величина разрывов (бытовые расстояния) между длинными сторонами многоквартирных жилых зданий линейного типа должна быть с учетом инсоляции жилых помещений рассматриваемых к посадке объектов.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Минимальная величина разрывов (бытовые расстояния) между короткими и длинными сторонами зданий линейного типа рекомендуется: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застройке домами: 4-5 этажей – не менее 12 метров;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застройке домами: 6-12 этажей – не менее 15 метров;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застройке домами: 13-16 этажей – не менее 24 метров;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застройке домами: 17 этажей и выше – не менее 45 метров.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минимальная величина разрывов (бытовые расстояния) между короткими и длинными сторонами с учетом инсоляции и отступов от проектируемых объектов по обеим сторонам пожарных проездов.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маслихата города Астаны от 14.02.2025 </w:t>
      </w:r>
      <w:r>
        <w:rPr>
          <w:rFonts w:ascii="Times New Roman"/>
          <w:b w:val="false"/>
          <w:i w:val="false"/>
          <w:color w:val="000000"/>
          <w:sz w:val="28"/>
        </w:rPr>
        <w:t>№ 267/34-VIII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минимальная величина разрывов между жилыми или общественными зданиями до 3-х этажей (не более 12 метров по высоте от отметки уровня земли до конька кровли, определяется в соответствии с нормами инсоляции и допустимыми противопожарными разрывами).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маслихата города Астаны от 14.02.2025 </w:t>
      </w:r>
      <w:r>
        <w:rPr>
          <w:rFonts w:ascii="Times New Roman"/>
          <w:b w:val="false"/>
          <w:i w:val="false"/>
          <w:color w:val="000000"/>
          <w:sz w:val="28"/>
        </w:rPr>
        <w:t>№ 267/34-VIII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безопасности от техногенных и природных факторов, влияющих на жизнь и здоровье человека при градостроительном освоении территории города, необходимо соблюдать условия и нормативные требования при проектировании, строительстве и эксплуатации на площадках, с учетом подъема грунтовых вод на отдельных участках.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размещении зданий башенного типа расстояние следует принимать с учетом норм обеспечения инсоляции всех жилых помещений, но не менее 23 метров в случае размещения в одну линию с объединенным объемом первых этажей.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Фасады зданий и сооружений на территории города должны отражать отличительные эстетические характеристики качества города и окружающей градостроительной среды (стилевую и композиционную целостность, ритм, соразмерность и пропорциональность, визуальное восприятие, баланс открытых и закрытых пространств), соответствовать архитектурно-градостроительному облику, предусмотренному в проектной документации и (или) согласованному эскизному проекту.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Расположение окон и витрин на фасаде, их габариты, характер устройства и внешний вид, включая цветовое решение, должны соответствовать технической документации здания, системе горизонтальных и вертикальных осей, симметрии, регулярности по высоте, ритму, объемно-пространственному решению здания, предусмотренных проектом здания и архитектурно-планировочному заданию.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Устройство и оборудование входных групп (входов) осуществляется в соответствии с согласованной и утвержденной проектной документацией, с учетом обеспечения надежности, безопасности конструкций, исключая ущерб для внешнего вида фасада здания и архитектурно-планировочного замысла, удобства и безопасности пешеходного и транспортного движения.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сохранения внешнего архитектурного облика зданий, для визуальной доступности декоративно-художественных элементов и минимального нанесения материального ущерба фасадам, входные группы (входы) оборудуются навесами (козырьками) согласно проектной документации здания или архитектурному паспорту фасада.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Расположение лоджий и балконов на фасадах зданий, характер их устройства и внешний вид должны соответствовать архитектурному решению фасада, предусмотренного проектной документацией, или архитектурному паспорту фасада.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Балконы, лоджии, эркеры должны быть по всей высоте здания (независимо от этажа и месторасположения балкона, лоджии, эркера в здании) и соответствовать проектной документации, применяемой при строительстве здания или сооружения.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Цветовое решение балконов и лоджий должно соответствовать особенностям архитектурного решения фасада согласно проектной документации здания или архитектурному паспорту фасада.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Размещение кондиционеров на фасадах в корзинах, не нарушающих эстетику фасада и архитектурный облик здания предусмотренных выданным архитектурно-планировочным заданием. В случае отсутствия отведенных ниш, размещение кондиционеров осуществляется по решению Совета дома либо другого органа, уполномоченного принимать решения от собственников квартир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Размещение технического оборудования необходимо производить без ущерба для внешнего вида архитектуры и технического состояния фасадов, с учетом комплексного решения размещения оборудования при минимальном контакте с архитектурными поверхностями, рациональном устройстве и технологичности крепежа, использовании стандартных конструкций крепления.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Эксплуатация инженерного оборудования не должна наносить ущерб внешнему виду и техническому состоянию фасада, причинять неудобства окружающим.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формировании архитектурного облика и градостроительного планирования необходимо создать: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уровень безопасности и комфортности территории (организация достаточного освещения дворов);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зоны отдыха и хозяйственные зоны;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покрытий дворовой территории в зависимости от назначения (асфальтовое покрытие, плиточное покрытие, комбинированное резиново-древесное покрытие для детских площадок);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малые архитектурные формы, выдержанные согласно архитектурному облику (дизайн-коду), оборудование для маломобильных групп населения, скамьи, урны, вазоны, детские игровые комплексы;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парковочные места на расстоянии от жилых зданий не менее 10 метров;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барьерной пешеходной среды для маломобильных групп населения (пандусы, тактильные плитки и приподнятые пешеходные переходы).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Архитектурному освещению в обязательном порядке подлежат: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высотные здания, телевизионные и радиовышки, пешеходные и автомобильные мосты;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культовые объекты, культурные центры, театры, кинотеатры, концертные залы, музеи и выставочные центры, вокзалы, аэропорт, подземные и наземные переходы, спортивные и гостиничные комплексы;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особой общественной значимости: здания, предназначенные для осуществления городских функций и функций административных центров города;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особой значимости: общественные и жилые здания, расположенные на планировочных осях площадей, осях и изгибах радиальных и кольцевых магистралей и набережных рек города, магистралей, набережных и бульваров, на их пересечениях; производственные здания, инженерные сооружения (трубы, строительные краны, высоко мачтовые осветительные установки), находящиеся вдоль основных автомагистралей;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особой исторической и архитектурной значимости: памятники истории, архитектуры, монументы, фонтаны и садово-паркового искусства, включая воссозданные, с учетом режимов охранных зон.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освещение иных коммерческих объектов осуществляется на усмотрение субъектов предпринимательства.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Проектирование, строительство инженерных сетей и сооружений, в том числе выполненных за счет частных застройщиков осуществляется с последующей передачей сетей на баланс соответствующих служб города для обеспечения последующего содержания и бесперебойной работы.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Прокладку открытым способом допускается осуществлять путем строительства коммуникационных тоннелей, каналов.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Проектирование инженерных сетей осуществляется в пределах зон инженерных коридоров.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Проектирование и строительство инженерных сетей и автомобильных дорог необходимо осуществлять в пределах красных линий улиц, утверждаемых в градостроительной документации города (генеральном плане, проектах детальной планировки и (или) проектах застройки), с обоснованием, при необходимости, на охраняемых природных территориях параметров элементов плана, уклонов продольного профиля, параметров поперечного профиля улиц и дорог, включая тротуары и велодорожки, с расчетом в зависимости от скорости движения и габаритов автомобиля, с разработкой мероприятий, обеспечивающих безопасность движения.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Строительство, реконструкцию и ремонт дорожных покрытий городских улиц и внутриквартальных территорий необходимо производить в соответствии с требованиями нормативных правовых актов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разработке проектов организации дорожного движения, строительства, реконструкции и ремонта дорог, а также при содержании и эксплуатации улично-дорожной сети города применять: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улицах и дорогах с интенсивным движением транспорта, с количеством полос более двух в обоих направлениях, транспортных развязках, улицах с выделенной полосой для общественного транспорта долговечные разметочные материалы (двухкомпонентный пластик холодного нанесения). Ширину продольных линий разметки предусматривать – 0,15 метров;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остальных улицах города при количестве полос движения двух и менее в обоих направлениях, материал для дорожной разметки линий применяется в соответствии с результатами расчетов. Ширину продольных линий разметки предусматривать – 0,12 метров.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проводить строительно-монтажные работы инженерных сетей, реконструкцию и капитальный ремонт дорог по проектам строительства в период отопительного сезона, за исключением случаев возникновения аварийных ситуаций, требующих проведения ремонта и восстановления инженерных сетей.</w:t>
      </w:r>
    </w:p>
    <w:bookmarkEnd w:id="104"/>
    <w:p>
      <w:pPr>
        <w:spacing w:after="0"/>
        <w:ind w:left="0"/>
        <w:jc w:val="both"/>
      </w:pPr>
      <w:bookmarkStart w:name="z112" w:id="105"/>
      <w:r>
        <w:rPr>
          <w:rFonts w:ascii="Times New Roman"/>
          <w:b w:val="false"/>
          <w:i w:val="false"/>
          <w:color w:val="000000"/>
          <w:sz w:val="28"/>
        </w:rPr>
        <w:t>
      38. Данные Правила не распространяются на объекты, возведенные, построенные, установленные и должным образом согласованные до введения в действия Правил.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