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0588" w14:textId="e74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Алгинского района от 30 мая 2022 года № 132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сентября 2024 года № 213. Зарегистрировано Департаментом юстиции Актюбинской области 12 сентября 2024 года № 8627-04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Алгинского района от 30 мая 2022 года № 132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району" (зарегистрированное в Реестре государственной регистрации нормативных правовых актов за № 28368)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Алгинского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 № 132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района (далее – Правила) разработаны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- совокупность единых признаков, используемых в строительстве, характерная для определенного района застройки территории. Основными параметрами являются внешний облик, архитектурный стиль, цветовое решение, этажность, отделочные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кондоминиум многоквартирного жилого дома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общего имущества объекта кондоминиума -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или капитальному ремонту фасадов, кровли многоквартирных жилых домов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Алгинского района" (далее -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Алгинского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организует следующие мероприятия: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обследования технического состояния фасада,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проектно-сметной документации на капитальный ремонт фасада, кровли, направленного на придание единого архитектурного облика, с последующим получением заключения комплексной вневедомственной экспертизы,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(зарегистрировано в Реестре государственной регистрации нормативных правовых актов за № 10722).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Алгинскому району, осуществляется из средств местного бюджета в соответствии с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