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09cc" w14:textId="13d0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Хромтауского района от 13 июля 2022 года № 160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30 октября 2024 года № 261. Зарегистрировано Департаментом юстиции Актюбинской области 5 ноября 2024 года № 8645-04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Хромтауского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13 июля 2022 года № 160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району" (зарегистрированное в Реестре государственной регистрации нормативных правовых актов за №28854)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Хромтауского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 № 160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 (далее – Правила) разработаны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-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"Хромтауский районный отдел жилищно-коммунального хозяйства, пассажирского транспорта и автомобильных дорог" (далее - Отдел)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после определения перечня многоквартирных жилых домов,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Хромтауского района.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организует следующие мероприятия: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на официальном интернет-ресурсе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фасада,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обследования технического состояния фасада,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комплексной вневедомственной экспертизы,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(зарегистрировано в Реестре государственной регистрации нормативных правовых актов за № 10722).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району, осуществляется из средств местного бюджета в соответствии с действующим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