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b8ca" w14:textId="c56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34/177-VIII. Зарегистрировано Департаментом юстиции области Абай 27 ноября 2024 года № 379-18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нормативно правовых актов № 33110),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Семей ставки туристского взноса для иностранцев на 2024 год в размере 0 (ноль) процентов от стоимости пребывания в местах размещения туристов, за исключением хостелов, гостевых домов, арендного жилья.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ставок туристского взноса для иностранцев либо физических или юридических лиц, оплачивающих проживание иностранца (приглащающая сторона, туроператор) по городу Семей" от 17 ноября 2023 года № 13/77-VIII (зарегистрировано в Реестре государственной регистрации нормативно правовых актов № 156-18).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