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8070" w14:textId="8568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апреля 2024 года № 63. Зарегистрировано Департаментом юстиции Мангистауской области 19 апреля 2024 года № 4699-12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 № 63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Haifa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Азотно-фосфорные удобрения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K-15, S-10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марки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гуминовые кислоты-4,0, рН-7,1, Na-0,23, Zn-0,0005, Cu-0,001, Mn-0,0001, Fe-0,032, CaO-0,0001, S-0,0001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 марок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комплексное минеральное с микроэлементами ФЕРТИКА Плюс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минеральное ФЕРТИКА марки ФЕРТИКА Плюс 12-11-26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(MgO 16, Сера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Fulvimax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- 50, фосфатмобилизующий компонент - 50,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органическое вещество+ стимуляторы-13,40%w/v,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свободные аминокислоты-10,61%w/v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spp. и другие ростостимулирующие бактерии≥2*10^9 колониеобразующих единиц на миллилитр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 Trichoderma&gt;1,108 спор/мл, бактерии Bacillus subtilis, Bacillus megaterium&gt;2,108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Trichoderma&gt;1,108 спор/мл, бактерии Bacillus subtilis, Bacillus megaterium&gt;2,108 спор/мл,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колоний/мл, Trichoderma&gt;1,107 спор/мл, бактерии Bacillus subtilis, Bacillus megaterium&gt;2,107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Fe(EDDHA)-0,1, Zn(EDTA)-0,02,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Phomazin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