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425" w14:textId="f7f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9 октября 2018 года № 240 "Об установлении охранной зоны, режима, порядка природопользования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ноября 2024 года № 223. Зарегистрировано Департаментом юстиции Мангистауской области 15 ноября 2024 года № 4746-12.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Мангистауской области от 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охранной зоны, режима, порядка природопользования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 (зарегистрировано в Реестре государственной регистрации нормативных правовых актов под № 3740)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зоны, режима и порядка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охранную зону вокруг территории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 шириной двух километров общей площадью 63864,2 гектара, без изъятия земельных участков у собственников и землепользователей.";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режим и порядок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Казахстан, согласно приложению к настоящему постановлению.";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курирующего заместителя акима Мангистауской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от 9 октября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 (далее – заповедник) запрещается: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населенных пунктов и расширение существующих населенных пунктов;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заповедника;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экологической системы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заповедника.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охранной зоны заповедника могут осуществляться различные формы хозяйственной деятельности, не оказывающие негативного воздействия на состояние экологических систем заповедника: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для строительства служебных зданий (кордонов) для проживания работников заповедника, предоставления им служебных земельных наделов.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заповедника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