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8991" w14:textId="27e8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17 ноября 2023 года № 98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4 октября 2024 года № 210. Зарегистрировано в Департаменте юстиции Костанайской области 11 октября 2024 года № 10278-10</w:t>
      </w:r>
    </w:p>
    <w:p>
      <w:pPr>
        <w:spacing w:after="0"/>
        <w:ind w:left="0"/>
        <w:jc w:val="both"/>
      </w:pPr>
      <w:bookmarkStart w:name="z4" w:id="0"/>
      <w:r>
        <w:rPr>
          <w:rFonts w:ascii="Times New Roman"/>
          <w:b w:val="false"/>
          <w:i w:val="false"/>
          <w:color w:val="000000"/>
          <w:sz w:val="28"/>
        </w:rPr>
        <w:t>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17 ноября 2023 года № 98 (зарегистрировано в Реестре государственной регистрации нормативных правовых актов под № 10091)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жертв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(включая военных специалистов и советников) Министерства внутренних дел бывшего Союза Советских Социалистических Республик (далее - Союз ССР),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50 000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50 000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50 000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50 000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50 000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50 000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50 000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50 000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 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81" w:id="73"/>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73"/>
    <w:bookmarkStart w:name="z82" w:id="7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74"/>
    <w:bookmarkStart w:name="z83" w:id="7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75"/>
    <w:bookmarkStart w:name="z84" w:id="7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76"/>
    <w:bookmarkStart w:name="z85" w:id="7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77"/>
    <w:bookmarkStart w:name="z86" w:id="7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78"/>
    <w:bookmarkStart w:name="z87" w:id="7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79"/>
    <w:bookmarkStart w:name="z88" w:id="8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0"/>
    <w:bookmarkStart w:name="z89" w:id="8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1"/>
    <w:bookmarkStart w:name="z90" w:id="8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2"/>
    <w:bookmarkStart w:name="z91" w:id="8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3"/>
    <w:bookmarkStart w:name="z92" w:id="8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50 месячных расчетных показателей;</w:t>
      </w:r>
    </w:p>
    <w:bookmarkEnd w:id="84"/>
    <w:bookmarkStart w:name="z93" w:id="8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85"/>
    <w:bookmarkStart w:name="z94" w:id="8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86"/>
    <w:bookmarkStart w:name="z95" w:id="87"/>
    <w:p>
      <w:pPr>
        <w:spacing w:after="0"/>
        <w:ind w:left="0"/>
        <w:jc w:val="both"/>
      </w:pPr>
      <w:r>
        <w:rPr>
          <w:rFonts w:ascii="Times New Roman"/>
          <w:b w:val="false"/>
          <w:i w:val="false"/>
          <w:color w:val="000000"/>
          <w:sz w:val="28"/>
        </w:rPr>
        <w:t>
      11) лицам, освобожденным из мест лишения свободы, находящимся на учете службы пробации, без учета доходов, единовременно, в размере 2 месячных расчетных показателей;</w:t>
      </w:r>
    </w:p>
    <w:bookmarkEnd w:id="87"/>
    <w:bookmarkStart w:name="z96" w:id="8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88"/>
    <w:bookmarkStart w:name="z97" w:id="8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89"/>
    <w:bookmarkStart w:name="z98" w:id="9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0"/>
    <w:bookmarkStart w:name="z99" w:id="91"/>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доходов,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1"/>
    <w:bookmarkStart w:name="z100" w:id="9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нормативно правовых актов под № 9264).</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102" w:id="93"/>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93"/>
    <w:bookmarkStart w:name="z103" w:id="94"/>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4"/>
    <w:bookmarkStart w:name="z104" w:id="95"/>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5"/>
    <w:bookmarkStart w:name="z105" w:id="96"/>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96"/>
    <w:bookmarkStart w:name="z106" w:id="97"/>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97"/>
    <w:bookmarkStart w:name="z107" w:id="98"/>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98"/>
    <w:bookmarkStart w:name="z108" w:id="99"/>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проживания и стоимость проезда.</w:t>
      </w:r>
    </w:p>
    <w:bookmarkEnd w:id="99"/>
    <w:bookmarkStart w:name="z109" w:id="100"/>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ее стоимость и индивидуальную программу абилитации и реабилитации лица с инвалидностью.</w:t>
      </w:r>
    </w:p>
    <w:bookmarkEnd w:id="100"/>
    <w:bookmarkStart w:name="z110" w:id="101"/>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назначение и оплату оперативного лечения.</w:t>
      </w:r>
    </w:p>
    <w:bookmarkEnd w:id="101"/>
    <w:bookmarkStart w:name="z111" w:id="102"/>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102"/>
    <w:bookmarkStart w:name="z112" w:id="103"/>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3"/>
    <w:bookmarkStart w:name="z113" w:id="104"/>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104"/>
    <w:bookmarkStart w:name="z114" w:id="105"/>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5"/>
    <w:bookmarkStart w:name="z115" w:id="106"/>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6"/>
    <w:bookmarkStart w:name="z116" w:id="107"/>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07"/>
    <w:bookmarkStart w:name="z117" w:id="10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8"/>
    <w:bookmarkStart w:name="z118" w:id="109"/>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09"/>
    <w:bookmarkStart w:name="z119" w:id="11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10 апреля 2024 года.</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