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f943" w14:textId="590f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16 ноября 2023 года № 77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20 сентября 2024 года № 162. Зарегистрировано в Департаменте юстиции Костанайской области 27 сентября 2024 года № 10271-10</w:t>
      </w:r>
    </w:p>
    <w:p>
      <w:pPr>
        <w:spacing w:after="0"/>
        <w:ind w:left="0"/>
        <w:jc w:val="both"/>
      </w:pPr>
      <w:bookmarkStart w:name="z4" w:id="0"/>
      <w:r>
        <w:rPr>
          <w:rFonts w:ascii="Times New Roman"/>
          <w:b w:val="false"/>
          <w:i w:val="false"/>
          <w:color w:val="000000"/>
          <w:sz w:val="28"/>
        </w:rPr>
        <w:t>
      Карасуский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16 ноября 2023 года № 77 (зарегистрировано в Реестре государственной регистрации нормативных правовых актов под № 10087)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Карасуского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Карасуского района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13) и 14) следующего содержания:</w:t>
      </w:r>
    </w:p>
    <w:bookmarkStart w:name="z83" w:id="75"/>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3"/>
    <w:bookmarkStart w:name="z94"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84"/>
    <w:bookmarkStart w:name="z95"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7),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регистрации умершего в качестве безработного, также документ, подтверждающий факт регистрации безработного на момент регистрации смерти;</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3"/>
    <w:bookmarkStart w:name="z104" w:id="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4"/>
    <w:bookmarkStart w:name="z105" w:id="9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