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75fd" w14:textId="bec7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Баянаульского района</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22 августа 2024 года № 197/22. Зарегистрировано в Департаменте юстиции Павлодарской области 6 сентября 2024 года № 7591-14</w:t>
      </w:r>
    </w:p>
    <w:p>
      <w:pPr>
        <w:spacing w:after="0"/>
        <w:ind w:left="0"/>
        <w:jc w:val="both"/>
      </w:pPr>
      <w:bookmarkStart w:name="z1"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 № 523 "Об утверждении Типовых правил оказания социальной помощи, установления ее размеров и определения перечня отдельных категорий нуждающихся граждан", Баянаульский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Баянаульского района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Баянаульского районного маслихата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 </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Акимат Павлодарской области</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"___" ____________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197/22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Баянаульского района</w:t>
      </w:r>
    </w:p>
    <w:bookmarkStart w:name="z6"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Правилами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25 марта 2021 года № 84 (далее – Правила оказания социальной помощи).</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Баянаульского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4) социальная помощь – помощь, предоставляемая уполномоченным органом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Баянаульского района", осуществляющий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xml:space="preserve">
      9) участковая комиссия – специальная комиссия, создаваемая решением акимов сельских округов Баянаульского района для проведения обследования материального положения лиц (семей), обратившихся за социальной помощью и подготовки заключений; </w:t>
      </w:r>
    </w:p>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Start w:name="z9" w:id="7"/>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предусмотренном настоящими Правилами, </w:t>
      </w:r>
      <w:r>
        <w:rPr>
          <w:rFonts w:ascii="Times New Roman"/>
          <w:b w:val="false"/>
          <w:i w:val="false"/>
          <w:color w:val="000000"/>
          <w:sz w:val="28"/>
        </w:rPr>
        <w:t>пунктами 11</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Типовых правил.</w:t>
      </w:r>
    </w:p>
    <w:bookmarkEnd w:id="7"/>
    <w:bookmarkStart w:name="z10"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год).</w:t>
      </w:r>
    </w:p>
    <w:bookmarkEnd w:id="8"/>
    <w:bookmarkStart w:name="z11" w:id="9"/>
    <w:p>
      <w:pPr>
        <w:spacing w:after="0"/>
        <w:ind w:left="0"/>
        <w:jc w:val="both"/>
      </w:pPr>
      <w:r>
        <w:rPr>
          <w:rFonts w:ascii="Times New Roman"/>
          <w:b w:val="false"/>
          <w:i w:val="false"/>
          <w:color w:val="000000"/>
          <w:sz w:val="28"/>
        </w:rPr>
        <w:t>
      5. Выплата социальной помощи оказывается уполномоченным органом путем перечисления денежных средств на банковский счет получателя через банки второго уровня или организации, имеющие лицензии на соответствующие виды банковских операций.</w:t>
      </w:r>
    </w:p>
    <w:bookmarkEnd w:id="9"/>
    <w:bookmarkStart w:name="z12" w:id="10"/>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местными представительными органами по представлению уполномоченным органом.</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xml:space="preserve">
      7. Социальная помощь предоставляется гражданам из числа следующих категорий: </w:t>
      </w:r>
    </w:p>
    <w:bookmarkEnd w:id="12"/>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военнообязанным, призвавшиеся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ветеранам Великой Отечественной войны, а именно:</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p>
      <w:pPr>
        <w:spacing w:after="0"/>
        <w:ind w:left="0"/>
        <w:jc w:val="both"/>
      </w:pPr>
      <w:r>
        <w:rPr>
          <w:rFonts w:ascii="Times New Roman"/>
          <w:b w:val="false"/>
          <w:i w:val="false"/>
          <w:color w:val="000000"/>
          <w:sz w:val="28"/>
        </w:rPr>
        <w:t>
      лицам, удостоенные званий "Қазақстанның Еңбек Ері", "Халық қаhарманы";</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 Закона:</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p>
      <w:pPr>
        <w:spacing w:after="0"/>
        <w:ind w:left="0"/>
        <w:jc w:val="both"/>
      </w:pPr>
      <w:r>
        <w:rPr>
          <w:rFonts w:ascii="Times New Roman"/>
          <w:b w:val="false"/>
          <w:i w:val="false"/>
          <w:color w:val="000000"/>
          <w:sz w:val="28"/>
        </w:rPr>
        <w:t>
      7) граждане (лица, пенсионеры) достигшие пенсионного возраста,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граждане (лица, пенсионеры) от 80 лет и более (старше),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дети с инвалидностью до 18 лет;</w:t>
      </w:r>
    </w:p>
    <w:p>
      <w:pPr>
        <w:spacing w:after="0"/>
        <w:ind w:left="0"/>
        <w:jc w:val="both"/>
      </w:pPr>
      <w:r>
        <w:rPr>
          <w:rFonts w:ascii="Times New Roman"/>
          <w:b w:val="false"/>
          <w:i w:val="false"/>
          <w:color w:val="000000"/>
          <w:sz w:val="28"/>
        </w:rPr>
        <w:t>
      лица с инвалидностью первой группы;</w:t>
      </w:r>
    </w:p>
    <w:p>
      <w:pPr>
        <w:spacing w:after="0"/>
        <w:ind w:left="0"/>
        <w:jc w:val="both"/>
      </w:pPr>
      <w:r>
        <w:rPr>
          <w:rFonts w:ascii="Times New Roman"/>
          <w:b w:val="false"/>
          <w:i w:val="false"/>
          <w:color w:val="000000"/>
          <w:sz w:val="28"/>
        </w:rPr>
        <w:t xml:space="preserve">
      лица с инвалидностью второй группы; </w:t>
      </w:r>
    </w:p>
    <w:p>
      <w:pPr>
        <w:spacing w:after="0"/>
        <w:ind w:left="0"/>
        <w:jc w:val="both"/>
      </w:pPr>
      <w:r>
        <w:rPr>
          <w:rFonts w:ascii="Times New Roman"/>
          <w:b w:val="false"/>
          <w:i w:val="false"/>
          <w:color w:val="000000"/>
          <w:sz w:val="28"/>
        </w:rPr>
        <w:t>
      семьи, воспитывающие детей с инвалидностью до 18 лет;</w:t>
      </w:r>
    </w:p>
    <w:p>
      <w:pPr>
        <w:spacing w:after="0"/>
        <w:ind w:left="0"/>
        <w:jc w:val="both"/>
      </w:pPr>
      <w:r>
        <w:rPr>
          <w:rFonts w:ascii="Times New Roman"/>
          <w:b w:val="false"/>
          <w:i w:val="false"/>
          <w:color w:val="000000"/>
          <w:sz w:val="28"/>
        </w:rPr>
        <w:t>
      лица с инвалидностью, имеющие выписку из профессиональной части индивидуальной программы реабилитации лица с инвалидностью на получение высшего или средне-специального (профессионального) образования, и иных видов образования, без учета доходов;</w:t>
      </w:r>
    </w:p>
    <w:p>
      <w:pPr>
        <w:spacing w:after="0"/>
        <w:ind w:left="0"/>
        <w:jc w:val="both"/>
      </w:pPr>
      <w:r>
        <w:rPr>
          <w:rFonts w:ascii="Times New Roman"/>
          <w:b w:val="false"/>
          <w:i w:val="false"/>
          <w:color w:val="000000"/>
          <w:sz w:val="28"/>
        </w:rPr>
        <w:t xml:space="preserve">
      лица с инвалидностью третьей группы; </w:t>
      </w:r>
    </w:p>
    <w:p>
      <w:pPr>
        <w:spacing w:after="0"/>
        <w:ind w:left="0"/>
        <w:jc w:val="both"/>
      </w:pPr>
      <w:r>
        <w:rPr>
          <w:rFonts w:ascii="Times New Roman"/>
          <w:b w:val="false"/>
          <w:i w:val="false"/>
          <w:color w:val="000000"/>
          <w:sz w:val="28"/>
        </w:rPr>
        <w:t>
      лица с инвалидностью, имеющие несовершеннолетних детей;</w:t>
      </w:r>
    </w:p>
    <w:p>
      <w:pPr>
        <w:spacing w:after="0"/>
        <w:ind w:left="0"/>
        <w:jc w:val="both"/>
      </w:pPr>
      <w:r>
        <w:rPr>
          <w:rFonts w:ascii="Times New Roman"/>
          <w:b w:val="false"/>
          <w:i w:val="false"/>
          <w:color w:val="000000"/>
          <w:sz w:val="28"/>
        </w:rPr>
        <w:t>
      9) многодетные матери (семьи)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xml:space="preserve">
      10) лица из числа выпускников общеобразовательных школ текущего года, а именно: </w:t>
      </w:r>
    </w:p>
    <w:p>
      <w:pPr>
        <w:spacing w:after="0"/>
        <w:ind w:left="0"/>
        <w:jc w:val="both"/>
      </w:pPr>
      <w:r>
        <w:rPr>
          <w:rFonts w:ascii="Times New Roman"/>
          <w:b w:val="false"/>
          <w:i w:val="false"/>
          <w:color w:val="000000"/>
          <w:sz w:val="28"/>
        </w:rPr>
        <w:t>
      дети – сироты;</w:t>
      </w:r>
    </w:p>
    <w:p>
      <w:pPr>
        <w:spacing w:after="0"/>
        <w:ind w:left="0"/>
        <w:jc w:val="both"/>
      </w:pPr>
      <w:r>
        <w:rPr>
          <w:rFonts w:ascii="Times New Roman"/>
          <w:b w:val="false"/>
          <w:i w:val="false"/>
          <w:color w:val="000000"/>
          <w:sz w:val="28"/>
        </w:rPr>
        <w:t>
      дети, оставшиеся без попечения родителей;</w:t>
      </w:r>
    </w:p>
    <w:p>
      <w:pPr>
        <w:spacing w:after="0"/>
        <w:ind w:left="0"/>
        <w:jc w:val="both"/>
      </w:pPr>
      <w:r>
        <w:rPr>
          <w:rFonts w:ascii="Times New Roman"/>
          <w:b w:val="false"/>
          <w:i w:val="false"/>
          <w:color w:val="000000"/>
          <w:sz w:val="28"/>
        </w:rPr>
        <w:t>
      дети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w:t>
      </w:r>
    </w:p>
    <w:p>
      <w:pPr>
        <w:spacing w:after="0"/>
        <w:ind w:left="0"/>
        <w:jc w:val="both"/>
      </w:pPr>
      <w:r>
        <w:rPr>
          <w:rFonts w:ascii="Times New Roman"/>
          <w:b w:val="false"/>
          <w:i w:val="false"/>
          <w:color w:val="000000"/>
          <w:sz w:val="28"/>
        </w:rPr>
        <w:t>
      11) малообеспеченные граждане, а именно:</w:t>
      </w:r>
    </w:p>
    <w:p>
      <w:pPr>
        <w:spacing w:after="0"/>
        <w:ind w:left="0"/>
        <w:jc w:val="both"/>
      </w:pPr>
      <w:r>
        <w:rPr>
          <w:rFonts w:ascii="Times New Roman"/>
          <w:b w:val="false"/>
          <w:i w:val="false"/>
          <w:color w:val="000000"/>
          <w:sz w:val="28"/>
        </w:rPr>
        <w:t>
      граждане (семьи), которым причинен ущерб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граждане, освободившиеся из мест лишения свободы, находящиеся на учете службы пробации;</w:t>
      </w:r>
    </w:p>
    <w:p>
      <w:pPr>
        <w:spacing w:after="0"/>
        <w:ind w:left="0"/>
        <w:jc w:val="both"/>
      </w:pPr>
      <w:r>
        <w:rPr>
          <w:rFonts w:ascii="Times New Roman"/>
          <w:b w:val="false"/>
          <w:i w:val="false"/>
          <w:color w:val="000000"/>
          <w:sz w:val="28"/>
        </w:rPr>
        <w:t xml:space="preserve">
      беременные женщины, своевременно обратившиеся в коммунальное государственное предприятие на праве хозяйственного ведения "Баянаульская районная больница" управления здравоохранения Павлодарской области, акимата Павлодарской области для постановки на учет по беременности до 12 недель (при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18 лет); </w:t>
      </w:r>
    </w:p>
    <w:p>
      <w:pPr>
        <w:spacing w:after="0"/>
        <w:ind w:left="0"/>
        <w:jc w:val="both"/>
      </w:pPr>
      <w:r>
        <w:rPr>
          <w:rFonts w:ascii="Times New Roman"/>
          <w:b w:val="false"/>
          <w:i w:val="false"/>
          <w:color w:val="000000"/>
          <w:sz w:val="28"/>
        </w:rPr>
        <w:t>
      граждане (семьи), имеющие детей в возрасте до одного года, со среднедушевым доходом, не превышающим однократного размера прожиточного минимума нуждающиеся в дополнительном детском питании по заключению медицинского учреждения;</w:t>
      </w:r>
    </w:p>
    <w:p>
      <w:pPr>
        <w:spacing w:after="0"/>
        <w:ind w:left="0"/>
        <w:jc w:val="both"/>
      </w:pPr>
      <w:r>
        <w:rPr>
          <w:rFonts w:ascii="Times New Roman"/>
          <w:b w:val="false"/>
          <w:i w:val="false"/>
          <w:color w:val="000000"/>
          <w:sz w:val="28"/>
        </w:rPr>
        <w:t>
      12) граждане, имеющие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 заболеванием (3, 4 стадии и 4 клиническая группа независимо от стадии заболевания, заболевания кроветворной и лимфатической системы (лейкемия, лимфопролиферативные заболевания), с наличием каловых, мочевых и дыхательных свищей);</w:t>
      </w:r>
    </w:p>
    <w:p>
      <w:pPr>
        <w:spacing w:after="0"/>
        <w:ind w:left="0"/>
        <w:jc w:val="both"/>
      </w:pPr>
      <w:r>
        <w:rPr>
          <w:rFonts w:ascii="Times New Roman"/>
          <w:b w:val="false"/>
          <w:i w:val="false"/>
          <w:color w:val="000000"/>
          <w:sz w:val="28"/>
        </w:rPr>
        <w:t>
      лица, страдающие заболеванием вируса иммунодефицита человека;</w:t>
      </w:r>
    </w:p>
    <w:p>
      <w:pPr>
        <w:spacing w:after="0"/>
        <w:ind w:left="0"/>
        <w:jc w:val="both"/>
      </w:pPr>
      <w:r>
        <w:rPr>
          <w:rFonts w:ascii="Times New Roman"/>
          <w:b w:val="false"/>
          <w:i w:val="false"/>
          <w:color w:val="000000"/>
          <w:sz w:val="28"/>
        </w:rPr>
        <w:t>
      дети, страдающие заболеванием вируса иммунодефицита человека;</w:t>
      </w:r>
    </w:p>
    <w:p>
      <w:pPr>
        <w:spacing w:after="0"/>
        <w:ind w:left="0"/>
        <w:jc w:val="both"/>
      </w:pPr>
      <w:r>
        <w:rPr>
          <w:rFonts w:ascii="Times New Roman"/>
          <w:b w:val="false"/>
          <w:i w:val="false"/>
          <w:color w:val="000000"/>
          <w:sz w:val="28"/>
        </w:rPr>
        <w:t>
      лица, страдающие туберкулезным заболеванием, находящиеся на амбулаторном лечении;</w:t>
      </w:r>
    </w:p>
    <w:p>
      <w:pPr>
        <w:spacing w:after="0"/>
        <w:ind w:left="0"/>
        <w:jc w:val="both"/>
      </w:pPr>
      <w:r>
        <w:rPr>
          <w:rFonts w:ascii="Times New Roman"/>
          <w:b w:val="false"/>
          <w:i w:val="false"/>
          <w:color w:val="000000"/>
          <w:sz w:val="28"/>
        </w:rPr>
        <w:t>
      лица, страдающие заболеванием "системная красная волчанка";</w:t>
      </w:r>
    </w:p>
    <w:p>
      <w:pPr>
        <w:spacing w:after="0"/>
        <w:ind w:left="0"/>
        <w:jc w:val="both"/>
      </w:pPr>
      <w:r>
        <w:rPr>
          <w:rFonts w:ascii="Times New Roman"/>
          <w:b w:val="false"/>
          <w:i w:val="false"/>
          <w:color w:val="000000"/>
          <w:sz w:val="28"/>
        </w:rPr>
        <w:t>
      лица, страдающие сахарным диабетом;</w:t>
      </w:r>
    </w:p>
    <w:p>
      <w:pPr>
        <w:spacing w:after="0"/>
        <w:ind w:left="0"/>
        <w:jc w:val="both"/>
      </w:pPr>
      <w:r>
        <w:rPr>
          <w:rFonts w:ascii="Times New Roman"/>
          <w:b w:val="false"/>
          <w:i w:val="false"/>
          <w:color w:val="000000"/>
          <w:sz w:val="28"/>
        </w:rPr>
        <w:t xml:space="preserve">
      13) граждане, признанные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w:t>
      </w:r>
    </w:p>
    <w:bookmarkStart w:name="z15" w:id="13"/>
    <w:p>
      <w:pPr>
        <w:spacing w:after="0"/>
        <w:ind w:left="0"/>
        <w:jc w:val="both"/>
      </w:pPr>
      <w:r>
        <w:rPr>
          <w:rFonts w:ascii="Times New Roman"/>
          <w:b w:val="false"/>
          <w:i w:val="false"/>
          <w:color w:val="000000"/>
          <w:sz w:val="28"/>
        </w:rPr>
        <w:t>
      8. Уполномоченный орган оказывает без учета дохода:</w:t>
      </w:r>
    </w:p>
    <w:bookmarkEnd w:id="13"/>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лицам с инвалидностью первой и второй группы;</w:t>
      </w:r>
    </w:p>
    <w:p>
      <w:pPr>
        <w:spacing w:after="0"/>
        <w:ind w:left="0"/>
        <w:jc w:val="both"/>
      </w:pPr>
      <w:r>
        <w:rPr>
          <w:rFonts w:ascii="Times New Roman"/>
          <w:b w:val="false"/>
          <w:i w:val="false"/>
          <w:color w:val="000000"/>
          <w:sz w:val="28"/>
        </w:rPr>
        <w:t>
      детям с инвалидностью до 18 лет;</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указанных в подпунктах 1), в абзаце шестом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указанных в подпунктах 2), 3), 4) и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50 (пятьдесят) МРП на основании списка Государственной корпорации; </w:t>
      </w:r>
    </w:p>
    <w:p>
      <w:pPr>
        <w:spacing w:after="0"/>
        <w:ind w:left="0"/>
        <w:jc w:val="both"/>
      </w:pPr>
      <w:r>
        <w:rPr>
          <w:rFonts w:ascii="Times New Roman"/>
          <w:b w:val="false"/>
          <w:i w:val="false"/>
          <w:color w:val="000000"/>
          <w:sz w:val="28"/>
        </w:rPr>
        <w:t xml:space="preserve">
      для категорий, указанной в абзаце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законным представителем или индивидуальным помощником на санаторно- курортное лечение в размере 55 (пятьдесят пять) МРП на основании заявления с приложением документов, указанных в подпунктах 1), в абзаце шестом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на возмещение затрат по сопровождению одному из законных представителей, на санаторно- курортное лечение в размере 70 (семьдесят) % от гарантированной стоимости, на основании заявления с приложением документов, указанных в подпункте 1)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указанных в абзаце втором, третьем, четвертом, седьмом подпункта 8), подпункте 9)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20 (двадцать) МРП (оказывается во втором полугодии) на основании заявления с приложением документов, указанных в подпункте 1)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втором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 100 (сто) МРП на основании заявления с приложением документов, указанных в подпунктах 1), в абзаце втором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третьем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в абзаце седьмом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 </w:t>
      </w:r>
    </w:p>
    <w:p>
      <w:pPr>
        <w:spacing w:after="0"/>
        <w:ind w:left="0"/>
        <w:jc w:val="both"/>
      </w:pPr>
      <w:r>
        <w:rPr>
          <w:rFonts w:ascii="Times New Roman"/>
          <w:b w:val="false"/>
          <w:i w:val="false"/>
          <w:color w:val="000000"/>
          <w:sz w:val="28"/>
        </w:rPr>
        <w:t xml:space="preserve">
      для категории, указанной в абзаце втором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в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третьем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списка, предоставляемого фтизиатрическим кабинетом коммунального государственного предприятия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шестом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в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в абзаце пятом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седьмом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в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10 (десять) МРП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категорий, указанных в подпунктах 2), 3), 4) и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50 000 (пятьдесят тысяч) тенге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категорий, указанных в абзацах втором, третьем, четвертом подпункта 3), подпункте 4), абзацах втором, третьем, четвертом, пятом подпункта 6)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10 (десять) МРП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категорий, указанных в подпунктах 5) и 7)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2 (два) МРП на основании списка Государственной корпорации;</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и четвертом подпункта 8) </w:t>
      </w:r>
      <w:r>
        <w:rPr>
          <w:rFonts w:ascii="Times New Roman"/>
          <w:b w:val="false"/>
          <w:i w:val="false"/>
          <w:color w:val="000000"/>
          <w:sz w:val="28"/>
        </w:rPr>
        <w:t>пункта 7</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(нуждающиеся в перитонеальном диализе и гемодиализе на обследование и лечение) в размере 15 (пятнадцать)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восьмом подпункта 8) </w:t>
      </w:r>
      <w:r>
        <w:rPr>
          <w:rFonts w:ascii="Times New Roman"/>
          <w:b w:val="false"/>
          <w:i w:val="false"/>
          <w:color w:val="000000"/>
          <w:sz w:val="28"/>
        </w:rPr>
        <w:t>пункта 7</w:t>
      </w:r>
      <w:r>
        <w:rPr>
          <w:rFonts w:ascii="Times New Roman"/>
          <w:b w:val="false"/>
          <w:i w:val="false"/>
          <w:color w:val="000000"/>
          <w:sz w:val="28"/>
        </w:rPr>
        <w:t xml:space="preserve"> для оплаты содержания детей в дошкольных организациях на каждого ребенка в размере 3 (три) МРП на основании заявления с приложением документа, указанной в подпункте 1)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пятом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15 (пятнадцать)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10 (десять) МРП.</w:t>
      </w:r>
    </w:p>
    <w:bookmarkStart w:name="z16" w:id="14"/>
    <w:p>
      <w:pPr>
        <w:spacing w:after="0"/>
        <w:ind w:left="0"/>
        <w:jc w:val="both"/>
      </w:pPr>
      <w:r>
        <w:rPr>
          <w:rFonts w:ascii="Times New Roman"/>
          <w:b w:val="false"/>
          <w:i w:val="false"/>
          <w:color w:val="000000"/>
          <w:sz w:val="28"/>
        </w:rPr>
        <w:t>
      9. Уполномоченный орган оказывает помощь лицам с доходом, не превышающим величину прожиточного минимума:</w:t>
      </w:r>
    </w:p>
    <w:bookmarkEnd w:id="14"/>
    <w:p>
      <w:pPr>
        <w:spacing w:after="0"/>
        <w:ind w:left="0"/>
        <w:jc w:val="both"/>
      </w:pPr>
      <w:r>
        <w:rPr>
          <w:rFonts w:ascii="Times New Roman"/>
          <w:b w:val="false"/>
          <w:i w:val="false"/>
          <w:color w:val="000000"/>
          <w:sz w:val="28"/>
        </w:rPr>
        <w:t xml:space="preserve">
      для категории, указанной в абзаце четвертом подпункта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2), в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11) </w:t>
      </w:r>
      <w:r>
        <w:rPr>
          <w:rFonts w:ascii="Times New Roman"/>
          <w:b w:val="false"/>
          <w:i w:val="false"/>
          <w:color w:val="000000"/>
          <w:sz w:val="28"/>
        </w:rPr>
        <w:t>пункта 7</w:t>
      </w:r>
      <w:r>
        <w:rPr>
          <w:rFonts w:ascii="Times New Roman"/>
          <w:b w:val="false"/>
          <w:i w:val="false"/>
          <w:color w:val="000000"/>
          <w:sz w:val="28"/>
        </w:rPr>
        <w:t xml:space="preserve"> единовременную социальную помощь в размере 16,5 (шестнадцать целых пять десятых) МРП на основании заявления с приложением документов, указанных в подпунктах 1), 2), в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ежемесячную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10 (десять) МРП;</w:t>
      </w:r>
    </w:p>
    <w:p>
      <w:pPr>
        <w:spacing w:after="0"/>
        <w:ind w:left="0"/>
        <w:jc w:val="both"/>
      </w:pPr>
      <w:r>
        <w:rPr>
          <w:rFonts w:ascii="Times New Roman"/>
          <w:b w:val="false"/>
          <w:i w:val="false"/>
          <w:color w:val="000000"/>
          <w:sz w:val="28"/>
        </w:rPr>
        <w:t xml:space="preserve">
      для категории, указанной в абзаце пятом подпункта 11) </w:t>
      </w:r>
      <w:r>
        <w:rPr>
          <w:rFonts w:ascii="Times New Roman"/>
          <w:b w:val="false"/>
          <w:i w:val="false"/>
          <w:color w:val="000000"/>
          <w:sz w:val="28"/>
        </w:rPr>
        <w:t>пункта 7</w:t>
      </w:r>
      <w:r>
        <w:rPr>
          <w:rFonts w:ascii="Times New Roman"/>
          <w:b w:val="false"/>
          <w:i w:val="false"/>
          <w:color w:val="000000"/>
          <w:sz w:val="28"/>
        </w:rPr>
        <w:t xml:space="preserve"> на каждого ребенка в размере 5 (пять) МРП на основании заявления с приложением документов, указанных в подпунктах 1), 2), в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bookmarkStart w:name="z17" w:id="15"/>
    <w:p>
      <w:pPr>
        <w:spacing w:after="0"/>
        <w:ind w:left="0"/>
        <w:jc w:val="both"/>
      </w:pPr>
      <w:r>
        <w:rPr>
          <w:rFonts w:ascii="Times New Roman"/>
          <w:b w:val="false"/>
          <w:i w:val="false"/>
          <w:color w:val="000000"/>
          <w:sz w:val="28"/>
        </w:rPr>
        <w:t>
      10.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bookmarkEnd w:id="15"/>
    <w:bookmarkStart w:name="z18" w:id="1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6"/>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xml:space="preserve">
      12. Порядок оказания социальной помощи определены в соответствии с </w:t>
      </w:r>
      <w:r>
        <w:rPr>
          <w:rFonts w:ascii="Times New Roman"/>
          <w:b w:val="false"/>
          <w:i w:val="false"/>
          <w:color w:val="000000"/>
          <w:sz w:val="28"/>
        </w:rPr>
        <w:t>пунктами 11</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Типовых правил.</w:t>
      </w:r>
    </w:p>
    <w:bookmarkEnd w:id="18"/>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Баянаульского района на текущий финансовый год.</w:t>
      </w:r>
    </w:p>
    <w:bookmarkEnd w:id="19"/>
    <w:bookmarkStart w:name="z22" w:id="2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20"/>
    <w:bookmarkStart w:name="z23" w:id="21"/>
    <w:p>
      <w:pPr>
        <w:spacing w:after="0"/>
        <w:ind w:left="0"/>
        <w:jc w:val="both"/>
      </w:pPr>
      <w:r>
        <w:rPr>
          <w:rFonts w:ascii="Times New Roman"/>
          <w:b w:val="false"/>
          <w:i w:val="false"/>
          <w:color w:val="000000"/>
          <w:sz w:val="28"/>
        </w:rPr>
        <w:t>
      14.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Баянаульского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p>
    <w:bookmarkStart w:name="z24" w:id="22"/>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2"/>
    <w:bookmarkStart w:name="z25" w:id="23"/>
    <w:p>
      <w:pPr>
        <w:spacing w:after="0"/>
        <w:ind w:left="0"/>
        <w:jc w:val="left"/>
      </w:pPr>
      <w:r>
        <w:rPr>
          <w:rFonts w:ascii="Times New Roman"/>
          <w:b/>
          <w:i w:val="false"/>
          <w:color w:val="000000"/>
        </w:rPr>
        <w:t xml:space="preserve"> Глава 5. Заключительное положение</w:t>
      </w:r>
    </w:p>
    <w:bookmarkEnd w:id="23"/>
    <w:bookmarkStart w:name="z26" w:id="2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уполномоченый орган по оказанию социальной помощи с использованием базы данных автоматизированной информационной системы "Е-собес".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197/22</w:t>
            </w:r>
          </w:p>
        </w:tc>
      </w:tr>
    </w:tbl>
    <w:bookmarkStart w:name="z28" w:id="25"/>
    <w:p>
      <w:pPr>
        <w:spacing w:after="0"/>
        <w:ind w:left="0"/>
        <w:jc w:val="left"/>
      </w:pPr>
      <w:r>
        <w:rPr>
          <w:rFonts w:ascii="Times New Roman"/>
          <w:b/>
          <w:i w:val="false"/>
          <w:color w:val="000000"/>
        </w:rPr>
        <w:t xml:space="preserve"> Перечень утративших силу некоторых решений Баянаульского районного маслихата</w:t>
      </w:r>
    </w:p>
    <w:bookmarkEnd w:id="25"/>
    <w:bookmarkStart w:name="z29" w:id="26"/>
    <w:p>
      <w:pPr>
        <w:spacing w:after="0"/>
        <w:ind w:left="0"/>
        <w:jc w:val="both"/>
      </w:pPr>
      <w:r>
        <w:rPr>
          <w:rFonts w:ascii="Times New Roman"/>
          <w:b w:val="false"/>
          <w:i w:val="false"/>
          <w:color w:val="000000"/>
          <w:sz w:val="28"/>
        </w:rPr>
        <w:t xml:space="preserve">
      1. Решение Баянаульского районного маслихата Павлодарской области от 20 июля 2016 года </w:t>
      </w:r>
      <w:r>
        <w:rPr>
          <w:rFonts w:ascii="Times New Roman"/>
          <w:b w:val="false"/>
          <w:i w:val="false"/>
          <w:color w:val="000000"/>
          <w:sz w:val="28"/>
        </w:rPr>
        <w:t>№ 25/05</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5197, опубликованное в Эталонном контрольном банке нормативно правовых актов Республики Казахстан в электронном виде).</w:t>
      </w:r>
    </w:p>
    <w:bookmarkEnd w:id="26"/>
    <w:bookmarkStart w:name="z30" w:id="27"/>
    <w:p>
      <w:pPr>
        <w:spacing w:after="0"/>
        <w:ind w:left="0"/>
        <w:jc w:val="both"/>
      </w:pPr>
      <w:r>
        <w:rPr>
          <w:rFonts w:ascii="Times New Roman"/>
          <w:b w:val="false"/>
          <w:i w:val="false"/>
          <w:color w:val="000000"/>
          <w:sz w:val="28"/>
        </w:rPr>
        <w:t xml:space="preserve">
      2. Решение Баянаульского районного маслихата от 4 июля 2018 года </w:t>
      </w:r>
      <w:r>
        <w:rPr>
          <w:rFonts w:ascii="Times New Roman"/>
          <w:b w:val="false"/>
          <w:i w:val="false"/>
          <w:color w:val="000000"/>
          <w:sz w:val="28"/>
        </w:rPr>
        <w:t>№ 184/31</w:t>
      </w:r>
      <w:r>
        <w:rPr>
          <w:rFonts w:ascii="Times New Roman"/>
          <w:b w:val="false"/>
          <w:i w:val="false"/>
          <w:color w:val="000000"/>
          <w:sz w:val="28"/>
        </w:rPr>
        <w:t xml:space="preserve"> "О внесении изменений и дополнений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6027, опубликованное в Эталонном контрольном банке нормативных правовых актов Республики Казахстан в электронном виде).</w:t>
      </w:r>
    </w:p>
    <w:bookmarkEnd w:id="27"/>
    <w:bookmarkStart w:name="z31" w:id="28"/>
    <w:p>
      <w:pPr>
        <w:spacing w:after="0"/>
        <w:ind w:left="0"/>
        <w:jc w:val="both"/>
      </w:pPr>
      <w:r>
        <w:rPr>
          <w:rFonts w:ascii="Times New Roman"/>
          <w:b w:val="false"/>
          <w:i w:val="false"/>
          <w:color w:val="000000"/>
          <w:sz w:val="28"/>
        </w:rPr>
        <w:t xml:space="preserve">
      3. Решение Баянаульского районного маслихата от 25 ноября 2019 года </w:t>
      </w:r>
      <w:r>
        <w:rPr>
          <w:rFonts w:ascii="Times New Roman"/>
          <w:b w:val="false"/>
          <w:i w:val="false"/>
          <w:color w:val="000000"/>
          <w:sz w:val="28"/>
        </w:rPr>
        <w:t>№ 289/50</w:t>
      </w:r>
      <w:r>
        <w:rPr>
          <w:rFonts w:ascii="Times New Roman"/>
          <w:b w:val="false"/>
          <w:i w:val="false"/>
          <w:color w:val="000000"/>
          <w:sz w:val="28"/>
        </w:rPr>
        <w:t xml:space="preserve"> "О внесении изменений и дополнения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6645, опубликованное в Эталонном контрольном банке нормативных правовых актов Республики Казахстан в электронном виде).</w:t>
      </w:r>
    </w:p>
    <w:bookmarkEnd w:id="28"/>
    <w:bookmarkStart w:name="z32" w:id="29"/>
    <w:p>
      <w:pPr>
        <w:spacing w:after="0"/>
        <w:ind w:left="0"/>
        <w:jc w:val="both"/>
      </w:pPr>
      <w:r>
        <w:rPr>
          <w:rFonts w:ascii="Times New Roman"/>
          <w:b w:val="false"/>
          <w:i w:val="false"/>
          <w:color w:val="000000"/>
          <w:sz w:val="28"/>
        </w:rPr>
        <w:t xml:space="preserve">
      4. Решение Баянаульского районного маслихата от 27 апреля 2022 года </w:t>
      </w:r>
      <w:r>
        <w:rPr>
          <w:rFonts w:ascii="Times New Roman"/>
          <w:b w:val="false"/>
          <w:i w:val="false"/>
          <w:color w:val="000000"/>
          <w:sz w:val="28"/>
        </w:rPr>
        <w:t>№ 107/15</w:t>
      </w:r>
      <w:r>
        <w:rPr>
          <w:rFonts w:ascii="Times New Roman"/>
          <w:b w:val="false"/>
          <w:i w:val="false"/>
          <w:color w:val="000000"/>
          <w:sz w:val="28"/>
        </w:rPr>
        <w:t xml:space="preserve"> "О внесении изменения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27802, опубликованное в Эталонном контрольном банке нормативных правовых актов Республики Казахстан в электронном виде).</w:t>
      </w:r>
    </w:p>
    <w:bookmarkEnd w:id="29"/>
    <w:bookmarkStart w:name="z33" w:id="30"/>
    <w:p>
      <w:pPr>
        <w:spacing w:after="0"/>
        <w:ind w:left="0"/>
        <w:jc w:val="both"/>
      </w:pPr>
      <w:r>
        <w:rPr>
          <w:rFonts w:ascii="Times New Roman"/>
          <w:b w:val="false"/>
          <w:i w:val="false"/>
          <w:color w:val="000000"/>
          <w:sz w:val="28"/>
        </w:rPr>
        <w:t xml:space="preserve">
      5. Решение Баянаульского районного маслихата от 23 июня 2023 года </w:t>
      </w:r>
      <w:r>
        <w:rPr>
          <w:rFonts w:ascii="Times New Roman"/>
          <w:b w:val="false"/>
          <w:i w:val="false"/>
          <w:color w:val="000000"/>
          <w:sz w:val="28"/>
        </w:rPr>
        <w:t>№ 40/5</w:t>
      </w:r>
      <w:r>
        <w:rPr>
          <w:rFonts w:ascii="Times New Roman"/>
          <w:b w:val="false"/>
          <w:i w:val="false"/>
          <w:color w:val="000000"/>
          <w:sz w:val="28"/>
        </w:rPr>
        <w:t xml:space="preserve"> "О внесении изменения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7363-14, опубликованное в Эталонном контрольном банке нормативных правовых актов Республики Казахстан в электронном виде).</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