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d2ca" w14:textId="c22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Глубоковского районного маслихата от 22 декабря 2023 года № 8/9-VIII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p>
      <w:pPr>
        <w:spacing w:after="0"/>
        <w:ind w:left="0"/>
        <w:jc w:val="both"/>
      </w:pPr>
      <w:r>
        <w:rPr>
          <w:rFonts w:ascii="Times New Roman"/>
          <w:b w:val="false"/>
          <w:i w:val="false"/>
          <w:color w:val="000000"/>
          <w:sz w:val="28"/>
        </w:rPr>
        <w:t>Решение Глубоковского районного маслихата Восточно-Казахстанской области от 24 сентября 2024 года № 15/9-VIII. Зарегистрировано Департаментом юстиции Восточно-Казахстанской области 30 сентября 2024 года № 9086-16</w:t>
      </w:r>
    </w:p>
    <w:p>
      <w:pPr>
        <w:spacing w:after="0"/>
        <w:ind w:left="0"/>
        <w:jc w:val="both"/>
      </w:pPr>
      <w:bookmarkStart w:name="z5" w:id="0"/>
      <w:r>
        <w:rPr>
          <w:rFonts w:ascii="Times New Roman"/>
          <w:b w:val="false"/>
          <w:i w:val="false"/>
          <w:color w:val="000000"/>
          <w:sz w:val="28"/>
        </w:rPr>
        <w:t>
      Глубоковский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решение Глубоковского районного маслихата от 22 декабря 2023 года </w:t>
      </w:r>
      <w:r>
        <w:rPr>
          <w:rFonts w:ascii="Times New Roman"/>
          <w:b w:val="false"/>
          <w:i w:val="false"/>
          <w:color w:val="000000"/>
          <w:sz w:val="28"/>
        </w:rPr>
        <w:t>№ 8/9-VIII</w:t>
      </w:r>
      <w:r>
        <w:rPr>
          <w:rFonts w:ascii="Times New Roman"/>
          <w:b w:val="false"/>
          <w:i w:val="false"/>
          <w:color w:val="000000"/>
          <w:sz w:val="28"/>
        </w:rPr>
        <w:t xml:space="preserve">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 (зарегистрировано в Реестре государственной регистрации нормативных правовых актов под № 8946-16)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решения изложить в новой редакции:</w:t>
      </w:r>
    </w:p>
    <w:bookmarkStart w:name="z8" w:id="2"/>
    <w:p>
      <w:pPr>
        <w:spacing w:after="0"/>
        <w:ind w:left="0"/>
        <w:jc w:val="both"/>
      </w:pPr>
      <w:r>
        <w:rPr>
          <w:rFonts w:ascii="Times New Roman"/>
          <w:b w:val="false"/>
          <w:i w:val="false"/>
          <w:color w:val="000000"/>
          <w:sz w:val="28"/>
        </w:rPr>
        <w:t>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изложить в новой редакции:</w:t>
      </w:r>
    </w:p>
    <w:bookmarkStart w:name="z10"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12"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Глубоковскогорайонного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Глубоковского районного маслихата </w:t>
            </w:r>
            <w:r>
              <w:br/>
            </w:r>
            <w:r>
              <w:rPr>
                <w:rFonts w:ascii="Times New Roman"/>
                <w:b w:val="false"/>
                <w:i w:val="false"/>
                <w:color w:val="000000"/>
                <w:sz w:val="20"/>
              </w:rPr>
              <w:t xml:space="preserve">от 24 сентября 2024 года </w:t>
            </w:r>
            <w:r>
              <w:br/>
            </w:r>
            <w:r>
              <w:rPr>
                <w:rFonts w:ascii="Times New Roman"/>
                <w:b w:val="false"/>
                <w:i w:val="false"/>
                <w:color w:val="000000"/>
                <w:sz w:val="20"/>
              </w:rPr>
              <w:t>№ 15/9-VIII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Глубоковского районного маслихата </w:t>
            </w:r>
            <w:r>
              <w:br/>
            </w:r>
            <w:r>
              <w:rPr>
                <w:rFonts w:ascii="Times New Roman"/>
                <w:b w:val="false"/>
                <w:i w:val="false"/>
                <w:color w:val="000000"/>
                <w:sz w:val="20"/>
              </w:rPr>
              <w:t xml:space="preserve">от 22 декабря 2023 года </w:t>
            </w:r>
            <w:r>
              <w:br/>
            </w:r>
            <w:r>
              <w:rPr>
                <w:rFonts w:ascii="Times New Roman"/>
                <w:b w:val="false"/>
                <w:i w:val="false"/>
                <w:color w:val="000000"/>
                <w:sz w:val="20"/>
              </w:rPr>
              <w:t>№ 8/9-VIII</w:t>
            </w:r>
          </w:p>
        </w:tc>
      </w:tr>
    </w:tbl>
    <w:bookmarkStart w:name="z16" w:id="5"/>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w:t>
      </w:r>
    </w:p>
    <w:bookmarkEnd w:id="5"/>
    <w:bookmarkStart w:name="z17" w:id="6"/>
    <w:p>
      <w:pPr>
        <w:spacing w:after="0"/>
        <w:ind w:left="0"/>
        <w:jc w:val="left"/>
      </w:pPr>
      <w:r>
        <w:rPr>
          <w:rFonts w:ascii="Times New Roman"/>
          <w:b/>
          <w:i w:val="false"/>
          <w:color w:val="000000"/>
        </w:rPr>
        <w:t xml:space="preserve">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Глубоковского района (далее по тексту социальная поддержка).</w:t>
      </w:r>
    </w:p>
    <w:bookmarkEnd w:id="7"/>
    <w:bookmarkStart w:name="z19" w:id="8"/>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Глубоковского района Восточно-Казахстанской области".</w:t>
      </w:r>
    </w:p>
    <w:bookmarkEnd w:id="8"/>
    <w:bookmarkStart w:name="z20" w:id="9"/>
    <w:p>
      <w:pPr>
        <w:spacing w:after="0"/>
        <w:ind w:left="0"/>
        <w:jc w:val="left"/>
      </w:pPr>
      <w:r>
        <w:rPr>
          <w:rFonts w:ascii="Times New Roman"/>
          <w:b/>
          <w:i w:val="false"/>
          <w:color w:val="000000"/>
        </w:rPr>
        <w:t xml:space="preserve"> 2. Порядок и размер оказания социальной поддержки</w:t>
      </w:r>
    </w:p>
    <w:bookmarkEnd w:id="9"/>
    <w:bookmarkStart w:name="z21" w:id="10"/>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средств Глубоковского районного бюджета специалистам государственных организаций здравоохранения, социального обеспечения, образования, культуры, спорта и ветеринарии (далее по тексту получатели), проживающим и работающим в сельских населенных пунктах Глубоковского района.</w:t>
      </w:r>
    </w:p>
    <w:bookmarkEnd w:id="10"/>
    <w:bookmarkStart w:name="z22" w:id="11"/>
    <w:p>
      <w:pPr>
        <w:spacing w:after="0"/>
        <w:ind w:left="0"/>
        <w:jc w:val="both"/>
      </w:pPr>
      <w:r>
        <w:rPr>
          <w:rFonts w:ascii="Times New Roman"/>
          <w:b w:val="false"/>
          <w:i w:val="false"/>
          <w:color w:val="000000"/>
          <w:sz w:val="28"/>
        </w:rPr>
        <w:t>
      4. Социальная поддержка оказывается один раз в год в размере 11,3759 месячных расчетных показателя,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лицевые счета получателей через банки второго уровня или организации, имеющие лицензии на соответствующие виды банковских операций.</w:t>
      </w:r>
    </w:p>
    <w:bookmarkEnd w:id="11"/>
    <w:bookmarkStart w:name="z23" w:id="12"/>
    <w:p>
      <w:pPr>
        <w:spacing w:after="0"/>
        <w:ind w:left="0"/>
        <w:jc w:val="both"/>
      </w:pPr>
      <w:r>
        <w:rPr>
          <w:rFonts w:ascii="Times New Roman"/>
          <w:b w:val="false"/>
          <w:i w:val="false"/>
          <w:color w:val="000000"/>
          <w:sz w:val="28"/>
        </w:rPr>
        <w:t>
      5. Излишне или неправомерно выплаченные суммы социальной поддержки подлежат возврату в добровольном или судебном порядке.</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