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9a3b" w14:textId="70b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Бурлинском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 марта 2024 года № 11-3. Зарегистрирован в Департаменте юстиции Западно-Казахстанской области 4 марта 2024 года № 7337-07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Бурлинском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Бурлинском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Бурлинского района (далее –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установленными местными представительными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органами. Предельно допустимый уровень расходов к совокупному доходу услугополучателя установлена в размере 5 (пяти) процентов.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 согласно Правилам предоставления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составляет 8 (восемь) рабочих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 предоставления жилищной помощи;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ежемесячно до 10 числа каждого месяца.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11-3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№57-3 "Об определения размера и порядка оказания жилищной помощи малообеспеченным семьям в Бурлинском районе" (зарегистрировано в Реестре государственной регистрации нормативных правовых актов под № 6576).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 июня 2023 года №4-2 "О внесении изменений в решение Бурлинского районного маслихата от 22 декабря 2020 года №57-3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(зарегистрировано в Реестре государственной регистрации нормативных правовых актов под №7199-07).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