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fdc5" w14:textId="575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Сырымском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мая 2024 года № 20-21. Зарегистрирован в Департаменте юстиции Западно-Казахстанской области 31 мая 2024 года № 7377-07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под №33763),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Сырымском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27 мая 2024 года № 20-21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Сырымском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Сырымского района" (далее – услугодатель).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установленными местными представительными органами.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определяется в размере 5 (пять) процентов.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документов, предусмотренных Правилами предоставления жилищной помощи.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услугополучателю осуществляется в пределах средств, предусмотренных в бюджете района на соответствующий финансовый год.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27 мая 2024 года № 20-21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февраля 2020 года №51-3 "Об определении размера и порядка оказания жилищной помощи в Сырымском районе" (зарегистрировано в Реестре государственной регистрации нормативных правовых актов под № 6036);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№64-14 "О внесении изменения в решение Сырымского районного маслихата от 13 февраля 2020 года № 51-3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(Зарегистрировано в Реестре государственной регистрации нормативных правовых актов под № 6660);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 июня 2023 года №5-5 "О внесении изменений в решение Сырымского районного маслихата от 13 февраля 2020 года №51-3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(зарегистрировано в Реестре государственной регистрации нормативных правовых актов под № 7198-07).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