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ac64" w14:textId="b8ea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14 февраля 2025 года № 6. Зарегистрировано в Министерстве юстиции Республики Казахстан 17 февраля 2025 года № 35732</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дополнить пунктом 10-1 следующего содержания:</w:t>
      </w:r>
    </w:p>
    <w:bookmarkEnd w:id="3"/>
    <w:bookmarkStart w:name="z8" w:id="4"/>
    <w:p>
      <w:pPr>
        <w:spacing w:after="0"/>
        <w:ind w:left="0"/>
        <w:jc w:val="both"/>
      </w:pPr>
      <w:r>
        <w:rPr>
          <w:rFonts w:ascii="Times New Roman"/>
          <w:b w:val="false"/>
          <w:i w:val="false"/>
          <w:color w:val="000000"/>
          <w:sz w:val="28"/>
        </w:rPr>
        <w:t>
      "10-1. С 1 января 2025 года в расчет основного капитала, указанный в подпункте 1) пункта 10 Нормативов, включаются:</w:t>
      </w:r>
    </w:p>
    <w:bookmarkEnd w:id="4"/>
    <w:bookmarkStart w:name="z9" w:id="5"/>
    <w:p>
      <w:pPr>
        <w:spacing w:after="0"/>
        <w:ind w:left="0"/>
        <w:jc w:val="both"/>
      </w:pPr>
      <w:r>
        <w:rPr>
          <w:rFonts w:ascii="Times New Roman"/>
          <w:b w:val="false"/>
          <w:i w:val="false"/>
          <w:color w:val="000000"/>
          <w:sz w:val="28"/>
        </w:rPr>
        <w:t>
      резервы переоценки основных средств и резервы переоценки стоимости ценных бумаг, учитываемых по справедливой стоимости через прочий совокупный доход;</w:t>
      </w:r>
    </w:p>
    <w:bookmarkEnd w:id="5"/>
    <w:bookmarkStart w:name="z10" w:id="6"/>
    <w:p>
      <w:pPr>
        <w:spacing w:after="0"/>
        <w:ind w:left="0"/>
        <w:jc w:val="both"/>
      </w:pPr>
      <w:r>
        <w:rPr>
          <w:rFonts w:ascii="Times New Roman"/>
          <w:b w:val="false"/>
          <w:i w:val="false"/>
          <w:color w:val="000000"/>
          <w:sz w:val="28"/>
        </w:rPr>
        <w:t>
      резервы переоценки стоимости займов, учитываемых по справедливой стоимости через прочий совокупный доход.";</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7"/>
    <w:bookmarkStart w:name="z13" w:id="8"/>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8"/>
    <w:bookmarkStart w:name="z14" w:id="9"/>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9"/>
    <w:bookmarkStart w:name="z15" w:id="10"/>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10"/>
    <w:bookmarkStart w:name="z16" w:id="11"/>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11"/>
    <w:bookmarkStart w:name="z17" w:id="12"/>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12"/>
    <w:bookmarkStart w:name="z18" w:id="13"/>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13"/>
    <w:bookmarkStart w:name="z19" w:id="14"/>
    <w:p>
      <w:pPr>
        <w:spacing w:after="0"/>
        <w:ind w:left="0"/>
        <w:jc w:val="both"/>
      </w:pPr>
      <w:r>
        <w:rPr>
          <w:rFonts w:ascii="Times New Roman"/>
          <w:b w:val="false"/>
          <w:i w:val="false"/>
          <w:color w:val="000000"/>
          <w:sz w:val="28"/>
        </w:rPr>
        <w:t>
      Под заемщиком понимается физическое лицо - резидент Республики Казахстан, намеревающееся воспользоваться или пользующееся услугами банка по осуществлению банковских заемных операций.</w:t>
      </w:r>
    </w:p>
    <w:bookmarkEnd w:id="14"/>
    <w:bookmarkStart w:name="z20" w:id="15"/>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w:t>
      </w:r>
    </w:p>
    <w:bookmarkEnd w:id="15"/>
    <w:bookmarkStart w:name="z21" w:id="16"/>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займа в период с 1 января 2025 года по 31 декабря 2026 года включительно:</w:t>
      </w:r>
    </w:p>
    <w:bookmarkEnd w:id="16"/>
    <w:bookmarkStart w:name="z22" w:id="17"/>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займу;</w:t>
      </w:r>
    </w:p>
    <w:bookmarkEnd w:id="17"/>
    <w:bookmarkStart w:name="z23" w:id="18"/>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займу, с первоначальным взносом не менее 50 (пятидесяти) процентов от стоимости данного автотранспортного средства;</w:t>
      </w:r>
    </w:p>
    <w:bookmarkEnd w:id="18"/>
    <w:bookmarkStart w:name="z24" w:id="19"/>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займу, с первоначальным взносом не менее 30 (тридцати) процентов от стоимости данного автотранспортного средства;</w:t>
      </w:r>
    </w:p>
    <w:bookmarkEnd w:id="19"/>
    <w:bookmarkStart w:name="z25" w:id="20"/>
    <w:p>
      <w:pPr>
        <w:spacing w:after="0"/>
        <w:ind w:left="0"/>
        <w:jc w:val="both"/>
      </w:pPr>
      <w:r>
        <w:rPr>
          <w:rFonts w:ascii="Times New Roman"/>
          <w:b w:val="false"/>
          <w:i w:val="false"/>
          <w:color w:val="000000"/>
          <w:sz w:val="28"/>
        </w:rPr>
        <w:t>
      в рамках системы жилищных строительных сбережений.</w:t>
      </w:r>
    </w:p>
    <w:bookmarkEnd w:id="20"/>
    <w:bookmarkStart w:name="z26" w:id="21"/>
    <w:p>
      <w:pPr>
        <w:spacing w:after="0"/>
        <w:ind w:left="0"/>
        <w:jc w:val="both"/>
      </w:pPr>
      <w:r>
        <w:rPr>
          <w:rFonts w:ascii="Times New Roman"/>
          <w:b w:val="false"/>
          <w:i w:val="false"/>
          <w:color w:val="000000"/>
          <w:sz w:val="28"/>
        </w:rPr>
        <w:t>
      Банк осуществляет расчет коэффициента долговой нагрузки заемщика по займам, указанным в части шестой настоящего пункта, в целях мониторинга кредитных рисков.";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8" w:id="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следующее изменение:</w:t>
      </w:r>
    </w:p>
    <w:bookmarkEnd w:id="22"/>
    <w:bookmarkStart w:name="z2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 утвержденных указанным постановлением: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"4. Требования пункта 3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bookmarkEnd w:id="24"/>
    <w:bookmarkStart w:name="z32" w:id="25"/>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микрокредита в период с 1 января 2025 года по 31 декабря 2026 года включительно:</w:t>
      </w:r>
    </w:p>
    <w:bookmarkEnd w:id="25"/>
    <w:bookmarkStart w:name="z33" w:id="26"/>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микрокредиту;</w:t>
      </w:r>
    </w:p>
    <w:bookmarkEnd w:id="26"/>
    <w:bookmarkStart w:name="z34" w:id="27"/>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микрокредиту, с первоначальным взносом не менее 50 (пятидесяти) процентов от стоимости данного автотранспортного средства;</w:t>
      </w:r>
    </w:p>
    <w:bookmarkEnd w:id="27"/>
    <w:bookmarkStart w:name="z35" w:id="28"/>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микрокредиту, с первоначальным взносом не менее 30 (тридцати) процентов от стоимости данного автотранспортного средства.</w:t>
      </w:r>
    </w:p>
    <w:bookmarkEnd w:id="28"/>
    <w:bookmarkStart w:name="z36" w:id="29"/>
    <w:p>
      <w:pPr>
        <w:spacing w:after="0"/>
        <w:ind w:left="0"/>
        <w:jc w:val="both"/>
      </w:pPr>
      <w:r>
        <w:rPr>
          <w:rFonts w:ascii="Times New Roman"/>
          <w:b w:val="false"/>
          <w:i w:val="false"/>
          <w:color w:val="000000"/>
          <w:sz w:val="28"/>
        </w:rPr>
        <w:t>
      Микрофинансовая организация осуществляет расчет коэффициента долговой нагрузки заемщика по микрокредитам, указанным в части второй настоящего пункта, в целях мониторинга кредитных рисков.".</w:t>
      </w:r>
    </w:p>
    <w:bookmarkEnd w:id="29"/>
    <w:bookmarkStart w:name="z37" w:id="30"/>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30"/>
    <w:bookmarkStart w:name="z38" w:id="31"/>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1"/>
    <w:bookmarkStart w:name="z39" w:id="3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2"/>
    <w:bookmarkStart w:name="z40" w:id="3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33"/>
    <w:bookmarkStart w:name="z41" w:id="3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34"/>
    <w:bookmarkStart w:name="z42" w:id="35"/>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44" w:id="36"/>
      <w:r>
        <w:rPr>
          <w:rFonts w:ascii="Times New Roman"/>
          <w:b w:val="false"/>
          <w:i w:val="false"/>
          <w:color w:val="000000"/>
          <w:sz w:val="28"/>
        </w:rPr>
        <w:t>
      "СОГЛАСОВАНО"</w:t>
      </w:r>
    </w:p>
    <w:bookmarkEnd w:id="3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февраля 2025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7" w:id="37"/>
    <w:p>
      <w:pPr>
        <w:spacing w:after="0"/>
        <w:ind w:left="0"/>
        <w:jc w:val="left"/>
      </w:pPr>
      <w:r>
        <w:rPr>
          <w:rFonts w:ascii="Times New Roman"/>
          <w:b/>
          <w:i w:val="false"/>
          <w:color w:val="000000"/>
        </w:rPr>
        <w:t xml:space="preserve"> Критерии для классификации инструментов в составе капитала банка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 при выполнении следующих условий: наличие положительного заключения уполномоченного органа; предоставление в качестве замены капиталом такого же или лучшего качества;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 5 (пять) лет срока обращения амортизируются прямолинейным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 при выполнении следующих условий: наличие положительного заключения уполномоченного органа; предоставление в качестве замены капитала такого же или лучшего качества (данное условие с 1 декабря 2024 года не распространяется на замену финансовых инструментов, выпущенных банком при получении государственной поддержки банка в целях обеспечения финансовой устойчивости и (или) оздоровления банка);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 При этом банкам запрещается выдача займов на приобретение собственных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 уменьшает права требования инструмента при ликвидации; уменьшает суммы выплаты при осуществлении отзыва инструмента частично либо полностью уменьшает выплату дивидендов (вознаграждения)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