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229" w14:textId="6be2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16 апреля 2015 года № 57 "О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февраля 2025 года № 21. Зарегистрирован в Министерстве юстиции Республики Казахстан 17 февраля 2025 года № 35733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апреля 2015 года № 57 "О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Казахстан" (зарегистрирован в Реестре государственной регистрации нормативных правовых актов под № 11236)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казахском языке, текст на русском языке не изменяется;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и документов кандидатов из числа граждан для поступления на воинскую службу по контракту в органы, ведомства и учреждения прокуратуры Республики Казахстан,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заявлению гражданин представляет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вложенные в скоросшиватель, с указанием перечня прилагаемых документов.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могут предоставлять дополнительную информацию, касающуюся их образования, опыта работы, профессионального уровня.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не проходившие ранее воинскую службу, не обучавшиеся на военной кафедре высшего учебного заведения, предоставляют документ, подтверждающий прохождение военной подготовки в специализированной организации образования Министерства обороны Республики Казахстан, за исключением женщин.";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Заявление регистрируется в органах прокуратуры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работы отборочных комиссий, проведения мероприятий по профессиональному и психологическому отбору кандидатов из числа граждан для поступления на воинскую службу по контракту в органы, ведомства и учреждения прокуратуры Республики Казахстан,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(далее – Правила прохождения воинской службы).";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Время на выполнение тестов по программе тестирования для кандидатов, претендующих на должность офицерского состава, составляет 90 минут (120 вопросов), рядового и сержантского составов – 90 минут (90 вопросов).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по тесту составляют не менее 70 % правильных ответов от общего количества вопросов по нормативным правовым актам, указанным в программе тестирования.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Конституционному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Этическому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утвержденному Указом Президента Республики Казахстан от 29 декабря 2015 года № 153 (далее - Этический кодекс), количество правильных ответов должно составлять не менее 70 % от каждого нормативного правового акта.";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После завершения тестирования представитель подразделения кадровой работы ознакамливает кандидата под роспись с результатами тестирования, один экземпляр которого с подписью кандидата приобщается к его личному делу.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кандидата, получившего оценку не ниже пороговых значений, действительны в течение одного года со дня прохождения тестирования.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получивший при прохождении тестирования оценку ниже пороговых значений, вправе пройти повторное тестирование, но не ранее чем по истечении одного месяца с момента предыдущего тестирования.";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военной прокуратуре в установленном законодательством Республики Казахстан порядке обеспечить: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Республике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Главную военную прокуратуру.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документов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граждан 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 (ведомства,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учреждения)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"/>
    <w:p>
      <w:pPr>
        <w:spacing w:after="0"/>
        <w:ind w:left="0"/>
        <w:jc w:val="both"/>
      </w:pPr>
      <w:bookmarkStart w:name="z3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прошу принять мои документы для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 по контракту в органы (ведомства, учреждения)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сроком на ____ года и назначения на вакантную воинскую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 (наименование должности).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прохождения отбора кандидатов для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 по контракту в органы (ведомства, учреждения)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ознакомлен (ознакомлена), согласен (согласна)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Подлинность представляемых документов к настоящему заявлению,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воинских формированиях Республики Казахстан,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отборочных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управления)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______</w:t>
      </w:r>
    </w:p>
    <w:bookmarkEnd w:id="23"/>
    <w:p>
      <w:pPr>
        <w:spacing w:after="0"/>
        <w:ind w:left="0"/>
        <w:jc w:val="both"/>
      </w:pPr>
      <w:bookmarkStart w:name="z44" w:id="24"/>
      <w:r>
        <w:rPr>
          <w:rFonts w:ascii="Times New Roman"/>
          <w:b w:val="false"/>
          <w:i w:val="false"/>
          <w:color w:val="000000"/>
          <w:sz w:val="28"/>
        </w:rPr>
        <w:t>
      Направляется для оформления личного дела и проведения медицинского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 (психологического обследования)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гражданина, число, месяц и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кандидата, поступающего на службу в органы (ведомства,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прокуратуры Республики Казахстан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воинской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определения годности к прохождению воинской службы по контракту.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3х4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Направляемый кандидат предупрежден о необходимости представления документов,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прохождения воинской службы в Вооруженных Силах, других войсках и воинских формированиях Республики Казахстан.</w:t>
            </w:r>
          </w:p>
        </w:tc>
      </w:tr>
    </w:tbl>
    <w:p>
      <w:pPr>
        <w:spacing w:after="0"/>
        <w:ind w:left="0"/>
        <w:jc w:val="both"/>
      </w:pPr>
      <w:bookmarkStart w:name="z45" w:id="25"/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кадровой работы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должность, фамилия, телефон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