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c435" w14:textId="7d3c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цифрового развития, инноваций и аэрокосмической промышленности Республики Казахстан от 13 марта 2023 года № 90/НҚ "Об утверждении Правил об охране, сносе или перезакладке (переносе) геодезических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26 марта 2025 года № 124/НҚ. Зарегистрирован в Министерстве юстиции Республики Казахстан 27 марта 2025 года № 35862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13 марта 2023 года № 90/НҚ "Об утверждении Правил об охране, сносе или перезакладке (переносе) геодезических пунктов" (зарегистрирован в Реестре государственной регистрации нормативных правовых актов под № 32073)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охране, сносе или перезакладке (переносе) геодезических пунктов,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охраны геодезических пунктов";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Перезакладка (перенос) геодезических пунктов осуществляется в соответствии с Инструкцией по закладке, обследованию и восстановлению пунктов и знаков государственных геодезических, нивелирных и гравиметрических сетей Республики Казахстан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11 апреля 2024 года № 222/НҚ.";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Собственники и землепользователи земельных участков, на территории которых размещены геодезические пункты (далее – собственники и землепользователи), сообщают в уполномоченный орган и местные исполнительные органы городов республиканского значения, столицы, городов областного значения, районов о случаях повреждения или уничтожения геодезических пунктов.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обнаружения повреждения или уничтожения геодезических пунктов собственники и землепользователи в течение десяти рабочих дней направляют письменное уведомление в адрес уполномоченного органа и местных исполнительных органов городов республиканского значения, столицы, городов областного значения, районов.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Собственники и землепользователи предоставляют возможность подъезда (подхода) к геодезическим пунктам при проведении геодезических и картографических работ.";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Снос или перезакладка (перенос) геодезических пунктов проводится только с разрешения (далее – разрешение) Министерства цифрового развития, инноваций и аэрокосмической промышленности Республики Казахстан (далее – услугодатель).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снос или перезакладку (перенос) геодезических пунктов является государственной услугой (далее – государственная услуга).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Работник услугодателя в течение одного рабочего дня с момента регистрации заявления подготавливает и направляет, подписанный ЭЦП уполномоченного лица услугодателя, запрос о возможности или невозможности сноса или перезакладки (переноса) геодезического пункта в подведомственное предприятие, осуществляющее производство топографо-геодезических и картографических работ для проведения обследования (далее – подведомственное предприятие).";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При положительном заключении работник услугодателя в течение одного рабочего дня выдает в форме электронного документа, подписанного ЭЦП уполномоченного лица услугодателя,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со сроком действия до конца текущего года.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заключении услугодатель уведомляет услугополучателя о предварительном решении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разрешение либо направляет услугополучателю мотивированный отказ в выдаче разрешения по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услугодатель направляет в "личный кабинет" услугополучателя разрешение либо мотивированный отказ, подписанную ЭЦП услугодателя.";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пяти рабочих дней со дня ее регистрации.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 (далее – услугодатель)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на снос или перезакладку (перенос) геодезических пунктов в форме электронного документа с согласием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 сносе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перезакладке 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Министерство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8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 сносе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перезакладке 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аэроғарыш өнеркәсібі министрлiгi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снос или перезакладку (перенос) геодезических пунктов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 20___ года</w:t>
            </w:r>
          </w:p>
        </w:tc>
      </w:tr>
    </w:tbl>
    <w:p>
      <w:pPr>
        <w:spacing w:after="0"/>
        <w:ind w:left="0"/>
        <w:jc w:val="both"/>
      </w:pPr>
      <w:bookmarkStart w:name="z63" w:id="44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физического лица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полное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расположение геодезического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[Должность подписывающего]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[Фамилия, имя, отчество (при его наличии) подписывающего]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 сносе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перезакладке 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аэроғарыш өнеркәсібі министрлiгi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bookmarkStart w:name="z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______20___ года</w:t>
            </w:r>
          </w:p>
        </w:tc>
      </w:tr>
    </w:tbl>
    <w:p>
      <w:pPr>
        <w:spacing w:after="0"/>
        <w:ind w:left="0"/>
        <w:jc w:val="both"/>
      </w:pPr>
      <w:bookmarkStart w:name="z69" w:id="46"/>
      <w:r>
        <w:rPr>
          <w:rFonts w:ascii="Times New Roman"/>
          <w:b w:val="false"/>
          <w:i w:val="false"/>
          <w:color w:val="000000"/>
          <w:sz w:val="28"/>
        </w:rPr>
        <w:t>
      Министерство цифрового развития, инноваций и аэрокосмической промышленности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рассмотрев Ваше заявление № _________ от "___" 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выдаче разрешения на снос или перезакладку (перенос)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геодезических пунктов по следующей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[Причина мотивированного отказа]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[Должность подписывающего]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[Фамилия, имя, отчество (при его наличии) подписывающего]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