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82d4" w14:textId="76d8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14 ноября 2023 года № 105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21 февраля 2025 года № 290. Зарегистрировано в Департаменте юстиции Костанайской области 4 марта 2025 года № 10395-10</w:t>
      </w:r>
    </w:p>
    <w:p>
      <w:pPr>
        <w:spacing w:after="0"/>
        <w:ind w:left="0"/>
        <w:jc w:val="both"/>
      </w:pPr>
      <w:bookmarkStart w:name="z4" w:id="0"/>
      <w:r>
        <w:rPr>
          <w:rFonts w:ascii="Times New Roman"/>
          <w:b w:val="false"/>
          <w:i w:val="false"/>
          <w:color w:val="000000"/>
          <w:sz w:val="28"/>
        </w:rPr>
        <w:t>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14 ноября 2023 года № 105 (зарегистрировано в Реестре государственной регистрации нормативных правовых актов под № 10083) следующее изменение:</w:t>
      </w:r>
    </w:p>
    <w:bookmarkEnd w:id="1"/>
    <w:bookmarkStart w:name="z6" w:id="2"/>
    <w:p>
      <w:pPr>
        <w:spacing w:after="0"/>
        <w:ind w:left="0"/>
        <w:jc w:val="both"/>
      </w:pPr>
      <w:r>
        <w:rPr>
          <w:rFonts w:ascii="Times New Roman"/>
          <w:b w:val="false"/>
          <w:i w:val="false"/>
          <w:color w:val="000000"/>
          <w:sz w:val="28"/>
        </w:rPr>
        <w:t xml:space="preserve">
      прилагаемые </w:t>
      </w:r>
      <w:r>
        <w:rPr>
          <w:rFonts w:ascii="Times New Roman"/>
          <w:b w:val="false"/>
          <w:i w:val="false"/>
          <w:color w:val="000000"/>
          <w:sz w:val="28"/>
        </w:rPr>
        <w:t>Правила</w:t>
      </w:r>
      <w:r>
        <w:rPr>
          <w:rFonts w:ascii="Times New Roman"/>
          <w:b w:val="false"/>
          <w:i w:val="false"/>
          <w:color w:val="000000"/>
          <w:sz w:val="28"/>
        </w:rPr>
        <w:t xml:space="preserve"> к указанному решению изложить в новой редакции.</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февраля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4"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5"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6"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7"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8"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89"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0"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09"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0"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3"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5"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6"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7"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8"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19"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0"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1"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2"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3"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4"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5"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6"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7"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8"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29" w:id="116"/>
    <w:p>
      <w:pPr>
        <w:spacing w:after="0"/>
        <w:ind w:left="0"/>
        <w:jc w:val="left"/>
      </w:pPr>
      <w:r>
        <w:rPr>
          <w:rFonts w:ascii="Times New Roman"/>
          <w:b/>
          <w:i w:val="false"/>
          <w:color w:val="000000"/>
        </w:rPr>
        <w:t xml:space="preserve"> 3. Порядок оказания социальной помощи</w:t>
      </w:r>
    </w:p>
    <w:bookmarkEnd w:id="116"/>
    <w:bookmarkStart w:name="z130"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1"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2"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3"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4"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5"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6"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7"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8"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39"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0"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1"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bookmarkStart w:name="z142"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3"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4"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5" w:id="132"/>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6" w:id="13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7" w:id="13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48" w:id="13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49" w:id="136"/>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6"/>
    <w:bookmarkStart w:name="z150"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1"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2"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3"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4"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5"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2"/>
    <w:bookmarkStart w:name="z156"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7"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58"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59"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6"/>
    <w:bookmarkStart w:name="z160"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