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316" w14:textId="a52e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59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- 0,3726 га, в том числе по угодьям: пастбища естественные 0,3657 га, дороги 0,0069 для временного грунтового амбара, складирования материалов и складирования грунта,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ЛЭП АО "КазТрансОйл", кадастровый номер 15-220-068-068, сервитут ЛЭП АО "КазТрансОйл", охранная зона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