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b1d2" w14:textId="647b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Усть-Каменогорска от 8 февраля 2023 года № 479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30 января 2025 года № 360. Зарегистрировано Департаментом юстиции Восточно-Казахстанской области 31 января 2025 года № 9128-16</w:t>
      </w:r>
    </w:p>
    <w:p>
      <w:pPr>
        <w:spacing w:after="0"/>
        <w:ind w:left="0"/>
        <w:jc w:val="both"/>
      </w:pPr>
      <w:bookmarkStart w:name="z5" w:id="0"/>
      <w:r>
        <w:rPr>
          <w:rFonts w:ascii="Times New Roman"/>
          <w:b w:val="false"/>
          <w:i w:val="false"/>
          <w:color w:val="000000"/>
          <w:sz w:val="28"/>
        </w:rPr>
        <w:t xml:space="preserve">
      Акимат города Усть-Каменогорска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8 февраля 2023 года № 479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(зарегистрировано в Реестре государственной регистрации нормативных правовых актов за № 8818-16)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4"/>
    <w:bookmarkStart w:name="z13" w:id="5"/>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 города Усть-Каменогорска </w:t>
            </w:r>
            <w:r>
              <w:br/>
            </w:r>
            <w:r>
              <w:rPr>
                <w:rFonts w:ascii="Times New Roman"/>
                <w:b w:val="false"/>
                <w:i w:val="false"/>
                <w:color w:val="000000"/>
                <w:sz w:val="20"/>
              </w:rPr>
              <w:t>от 30 января 2025 года № 360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8 февраля 2023 года № 479</w:t>
            </w:r>
          </w:p>
        </w:tc>
      </w:tr>
    </w:tbl>
    <w:bookmarkStart w:name="z17"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6"/>
    <w:bookmarkStart w:name="z18"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End w:id="7"/>
    <w:bookmarkStart w:name="z19"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0"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1"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2"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3"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4"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 общего имущества объекта кондоминиума</w:t>
      </w:r>
      <w:r>
        <w:rPr>
          <w:rFonts w:ascii="Times New Roman"/>
          <w:b w:val="false"/>
          <w:i w:val="false"/>
          <w:color w:val="000000"/>
          <w:sz w:val="28"/>
        </w:rPr>
        <w:t xml:space="preserve">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5"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8"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9"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30"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1"/>
    <w:bookmarkStart w:name="z33"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5"/>
    <w:bookmarkStart w:name="z37"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