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ab3d" w14:textId="040a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22 апреля 2020 года № 365 "Об определении размера и перечня категорий получателей жилищных сертификатов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2025 года № 216. Зарегистрировано Департаментом юстиции Восточно-Казахстанской области 19 марта 2025 года № 9155-16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апреля 2020 года № 365 "Об определении размера и перечня категорий получателей жилищных сертификатов по Уланскому району" (зарегистрировано в Реестре государственной регистрации нормативных правовых актов под № 7037)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Уланскому району: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 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