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aea9" w14:textId="9eea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по регулированию инвестиционной деятельности компаний по управлению пенсионными активами и Государственного накопительного пенсионного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29 августа 1997 г. N 133. Зарегистрировано в Министерстве юстиции Республики Казахстан 16 октября 1997 г. N 402. Утратило силу - постановлением НКЦБ РК от 13 августа 1998 г. N 11 (~V980643)</w:t>
      </w:r>
    </w:p>
    <w:p>
      <w:pPr>
        <w:spacing w:after="0"/>
        <w:ind w:left="0"/>
        <w:jc w:val="both"/>
      </w:pPr>
      <w:bookmarkStart w:name="z0" w:id="0"/>
      <w:r>
        <w:rPr>
          <w:rFonts w:ascii="Times New Roman"/>
          <w:b w:val="false"/>
          <w:i w:val="false"/>
          <w:color w:val="000000"/>
          <w:sz w:val="28"/>
        </w:rPr>
        <w:t xml:space="preserve">
      Национальная комиссия Республики Казахстан по ценным бумагам постановляет: </w:t>
      </w:r>
      <w:r>
        <w:br/>
      </w:r>
      <w:r>
        <w:rPr>
          <w:rFonts w:ascii="Times New Roman"/>
          <w:b w:val="false"/>
          <w:i w:val="false"/>
          <w:color w:val="000000"/>
          <w:sz w:val="28"/>
        </w:rPr>
        <w:t xml:space="preserve">
      1. Утвердить следующие Положения: "О лицензировании инвестиционной деятельности по управлению пенсионными активами", "Об инвестиционной деятельности компаний по управлению пенсионными активами", "Об инвестиционной деятельности Государственного накопительного пенсионного фонда", "О пруденциальных нормативах для компаний по управлению пенсионными активами", "О порядке согласования кандидатур на руководящие должности компаний по управлению пенсионными активами", "О порядке и формах отчетности о деятельности по инвестиционному управлению пенсионными активами". </w:t>
      </w:r>
      <w:r>
        <w:br/>
      </w:r>
      <w:r>
        <w:rPr>
          <w:rFonts w:ascii="Times New Roman"/>
          <w:b w:val="false"/>
          <w:i w:val="false"/>
          <w:color w:val="000000"/>
          <w:sz w:val="28"/>
        </w:rPr>
        <w:t xml:space="preserve">
      2. Управлению правового обеспечения представить данные Положения в Министерство юстиции Республики Казахстан для регистрации. </w:t>
      </w:r>
      <w:r>
        <w:br/>
      </w:r>
      <w:r>
        <w:rPr>
          <w:rFonts w:ascii="Times New Roman"/>
          <w:b w:val="false"/>
          <w:i w:val="false"/>
          <w:color w:val="000000"/>
          <w:sz w:val="28"/>
        </w:rPr>
        <w:t xml:space="preserve">
      3. Контроль за исполнением утвержденных Положений возложить на Управление инвестирования и курирующего члена Национальной комиссии Республики Казахстан по ценным бумагам. </w:t>
      </w:r>
      <w:r>
        <w:br/>
      </w:r>
      <w:r>
        <w:rPr>
          <w:rFonts w:ascii="Times New Roman"/>
          <w:b w:val="false"/>
          <w:i w:val="false"/>
          <w:color w:val="000000"/>
          <w:sz w:val="28"/>
        </w:rPr>
        <w:t xml:space="preserve">
      4. Настоящие Положения вступают в силу с момента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Утверждено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Национальной </w:t>
      </w:r>
    </w:p>
    <w:p>
      <w:pPr>
        <w:spacing w:after="0"/>
        <w:ind w:left="0"/>
        <w:jc w:val="both"/>
      </w:pPr>
      <w:r>
        <w:rPr>
          <w:rFonts w:ascii="Times New Roman"/>
          <w:b w:val="false"/>
          <w:i w:val="false"/>
          <w:color w:val="000000"/>
          <w:sz w:val="28"/>
        </w:rPr>
        <w:t xml:space="preserve">                                 комиссии Республики Казахстан </w:t>
      </w:r>
    </w:p>
    <w:p>
      <w:pPr>
        <w:spacing w:after="0"/>
        <w:ind w:left="0"/>
        <w:jc w:val="both"/>
      </w:pPr>
      <w:r>
        <w:rPr>
          <w:rFonts w:ascii="Times New Roman"/>
          <w:b w:val="false"/>
          <w:i w:val="false"/>
          <w:color w:val="000000"/>
          <w:sz w:val="28"/>
        </w:rPr>
        <w:t xml:space="preserve">                                        по ценным бумагам </w:t>
      </w:r>
    </w:p>
    <w:p>
      <w:pPr>
        <w:spacing w:after="0"/>
        <w:ind w:left="0"/>
        <w:jc w:val="both"/>
      </w:pPr>
      <w:r>
        <w:rPr>
          <w:rFonts w:ascii="Times New Roman"/>
          <w:b w:val="false"/>
          <w:i w:val="false"/>
          <w:color w:val="000000"/>
          <w:sz w:val="28"/>
        </w:rPr>
        <w:t xml:space="preserve">                                  от 29 августа 1997 г. N 133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инвестиционной деятельности Государственного </w:t>
      </w:r>
      <w:r>
        <w:br/>
      </w:r>
      <w:r>
        <w:rPr>
          <w:rFonts w:ascii="Times New Roman"/>
          <w:b w:val="false"/>
          <w:i w:val="false"/>
          <w:color w:val="000000"/>
          <w:sz w:val="28"/>
        </w:rPr>
        <w:t xml:space="preserve">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Настоящее Положение разработано в соответствии с Законом Республики Казахстан </w:t>
      </w:r>
      <w:r>
        <w:rPr>
          <w:rFonts w:ascii="Times New Roman"/>
          <w:b w:val="false"/>
          <w:i w:val="false"/>
          <w:color w:val="000000"/>
          <w:sz w:val="28"/>
        </w:rPr>
        <w:t xml:space="preserve">Z970136_ </w:t>
      </w:r>
      <w:r>
        <w:rPr>
          <w:rFonts w:ascii="Times New Roman"/>
          <w:b w:val="false"/>
          <w:i w:val="false"/>
          <w:color w:val="000000"/>
          <w:sz w:val="28"/>
        </w:rPr>
        <w:t>"О пенсионном обеспечении в Республике Казахстан" от 20 июня 1997 г., Законом Республики Казахстан </w:t>
      </w:r>
      <w:r>
        <w:rPr>
          <w:rFonts w:ascii="Times New Roman"/>
          <w:b w:val="false"/>
          <w:i w:val="false"/>
          <w:color w:val="000000"/>
          <w:sz w:val="28"/>
        </w:rPr>
        <w:t xml:space="preserve">Z970077_ </w:t>
      </w:r>
      <w:r>
        <w:rPr>
          <w:rFonts w:ascii="Times New Roman"/>
          <w:b w:val="false"/>
          <w:i w:val="false"/>
          <w:color w:val="000000"/>
          <w:sz w:val="28"/>
        </w:rPr>
        <w:t xml:space="preserve">"О рынке ценных бумаг" от 5 марта 1997 г. и устанавливает порядок инвестиционной деятельности Государственного накопительного пенсионного фонда (далее - ГНПФ).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Основные принципы инвестиционной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ГНПФ осуществляет: </w:t>
      </w:r>
      <w:r>
        <w:br/>
      </w:r>
      <w:r>
        <w:rPr>
          <w:rFonts w:ascii="Times New Roman"/>
          <w:b w:val="false"/>
          <w:i w:val="false"/>
          <w:color w:val="000000"/>
          <w:sz w:val="28"/>
        </w:rPr>
        <w:t xml:space="preserve">
      - инвестиции в государственные ценные бумаги Республики Казахстан, ценные бумаги международных финансовых организаций, по списку, определенному пунктом 2.3. настоящего Положения; </w:t>
      </w:r>
      <w:r>
        <w:br/>
      </w:r>
      <w:r>
        <w:rPr>
          <w:rFonts w:ascii="Times New Roman"/>
          <w:b w:val="false"/>
          <w:i w:val="false"/>
          <w:color w:val="000000"/>
          <w:sz w:val="28"/>
        </w:rPr>
        <w:t xml:space="preserve">
      - размещение средств в банковские депозитные сертификаты и на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депозиты в государственных банках второго уровня по перечню, </w:t>
      </w:r>
    </w:p>
    <w:p>
      <w:pPr>
        <w:spacing w:after="0"/>
        <w:ind w:left="0"/>
        <w:jc w:val="both"/>
      </w:pPr>
      <w:r>
        <w:rPr>
          <w:rFonts w:ascii="Times New Roman"/>
          <w:b w:val="false"/>
          <w:i w:val="false"/>
          <w:color w:val="000000"/>
          <w:sz w:val="28"/>
        </w:rPr>
        <w:t xml:space="preserve">определенному Национальным Банком Республики Казахстан. </w:t>
      </w:r>
    </w:p>
    <w:p>
      <w:pPr>
        <w:spacing w:after="0"/>
        <w:ind w:left="0"/>
        <w:jc w:val="both"/>
      </w:pPr>
      <w:r>
        <w:rPr>
          <w:rFonts w:ascii="Times New Roman"/>
          <w:b w:val="false"/>
          <w:i w:val="false"/>
          <w:color w:val="000000"/>
          <w:sz w:val="28"/>
        </w:rPr>
        <w:t xml:space="preserve">     2.2. ГНПФ осуществляет размещение пенсионных активов в </w:t>
      </w:r>
    </w:p>
    <w:p>
      <w:pPr>
        <w:spacing w:after="0"/>
        <w:ind w:left="0"/>
        <w:jc w:val="both"/>
      </w:pPr>
      <w:r>
        <w:rPr>
          <w:rFonts w:ascii="Times New Roman"/>
          <w:b w:val="false"/>
          <w:i w:val="false"/>
          <w:color w:val="000000"/>
          <w:sz w:val="28"/>
        </w:rPr>
        <w:t xml:space="preserve">следующих размерах от общего объема пенсионных активов на момент их </w:t>
      </w:r>
    </w:p>
    <w:p>
      <w:pPr>
        <w:spacing w:after="0"/>
        <w:ind w:left="0"/>
        <w:jc w:val="both"/>
      </w:pPr>
      <w:r>
        <w:rPr>
          <w:rFonts w:ascii="Times New Roman"/>
          <w:b w:val="false"/>
          <w:i w:val="false"/>
          <w:color w:val="000000"/>
          <w:sz w:val="28"/>
        </w:rPr>
        <w:t xml:space="preserve">размещения: </w:t>
      </w:r>
    </w:p>
    <w:p>
      <w:pPr>
        <w:spacing w:after="0"/>
        <w:ind w:left="0"/>
        <w:jc w:val="both"/>
      </w:pPr>
      <w:r>
        <w:rPr>
          <w:rFonts w:ascii="Times New Roman"/>
          <w:b w:val="false"/>
          <w:i w:val="false"/>
          <w:color w:val="000000"/>
          <w:sz w:val="28"/>
        </w:rPr>
        <w:t xml:space="preserve">     - государственные краткосрочные ценные </w:t>
      </w:r>
    </w:p>
    <w:p>
      <w:pPr>
        <w:spacing w:after="0"/>
        <w:ind w:left="0"/>
        <w:jc w:val="both"/>
      </w:pPr>
      <w:r>
        <w:rPr>
          <w:rFonts w:ascii="Times New Roman"/>
          <w:b w:val="false"/>
          <w:i w:val="false"/>
          <w:color w:val="000000"/>
          <w:sz w:val="28"/>
        </w:rPr>
        <w:t xml:space="preserve">       бумаги Республики Казахстан (со сроком </w:t>
      </w:r>
    </w:p>
    <w:p>
      <w:pPr>
        <w:spacing w:after="0"/>
        <w:ind w:left="0"/>
        <w:jc w:val="both"/>
      </w:pPr>
      <w:r>
        <w:rPr>
          <w:rFonts w:ascii="Times New Roman"/>
          <w:b w:val="false"/>
          <w:i w:val="false"/>
          <w:color w:val="000000"/>
          <w:sz w:val="28"/>
        </w:rPr>
        <w:t xml:space="preserve">       обращения до 1 года)                       - не менее 25% </w:t>
      </w:r>
    </w:p>
    <w:p>
      <w:pPr>
        <w:spacing w:after="0"/>
        <w:ind w:left="0"/>
        <w:jc w:val="both"/>
      </w:pPr>
      <w:r>
        <w:rPr>
          <w:rFonts w:ascii="Times New Roman"/>
          <w:b w:val="false"/>
          <w:i w:val="false"/>
          <w:color w:val="000000"/>
          <w:sz w:val="28"/>
        </w:rPr>
        <w:t xml:space="preserve">     - государственные среднесрочные и </w:t>
      </w:r>
    </w:p>
    <w:p>
      <w:pPr>
        <w:spacing w:after="0"/>
        <w:ind w:left="0"/>
        <w:jc w:val="both"/>
      </w:pPr>
      <w:r>
        <w:rPr>
          <w:rFonts w:ascii="Times New Roman"/>
          <w:b w:val="false"/>
          <w:i w:val="false"/>
          <w:color w:val="000000"/>
          <w:sz w:val="28"/>
        </w:rPr>
        <w:t xml:space="preserve">       долгосрочные ценные бумаги Республики </w:t>
      </w:r>
    </w:p>
    <w:p>
      <w:pPr>
        <w:spacing w:after="0"/>
        <w:ind w:left="0"/>
        <w:jc w:val="both"/>
      </w:pPr>
      <w:r>
        <w:rPr>
          <w:rFonts w:ascii="Times New Roman"/>
          <w:b w:val="false"/>
          <w:i w:val="false"/>
          <w:color w:val="000000"/>
          <w:sz w:val="28"/>
        </w:rPr>
        <w:t xml:space="preserve">       Казахстан (со сроком обращения от 1 </w:t>
      </w:r>
    </w:p>
    <w:p>
      <w:pPr>
        <w:spacing w:after="0"/>
        <w:ind w:left="0"/>
        <w:jc w:val="both"/>
      </w:pPr>
      <w:r>
        <w:rPr>
          <w:rFonts w:ascii="Times New Roman"/>
          <w:b w:val="false"/>
          <w:i w:val="false"/>
          <w:color w:val="000000"/>
          <w:sz w:val="28"/>
        </w:rPr>
        <w:t xml:space="preserve">       года и более)                              - не менее 25% </w:t>
      </w:r>
    </w:p>
    <w:p>
      <w:pPr>
        <w:spacing w:after="0"/>
        <w:ind w:left="0"/>
        <w:jc w:val="both"/>
      </w:pPr>
      <w:r>
        <w:rPr>
          <w:rFonts w:ascii="Times New Roman"/>
          <w:b w:val="false"/>
          <w:i w:val="false"/>
          <w:color w:val="000000"/>
          <w:sz w:val="28"/>
        </w:rPr>
        <w:t xml:space="preserve">     - ценные бумаги международных финансовых </w:t>
      </w:r>
    </w:p>
    <w:p>
      <w:pPr>
        <w:spacing w:after="0"/>
        <w:ind w:left="0"/>
        <w:jc w:val="both"/>
      </w:pPr>
      <w:r>
        <w:rPr>
          <w:rFonts w:ascii="Times New Roman"/>
          <w:b w:val="false"/>
          <w:i w:val="false"/>
          <w:color w:val="000000"/>
          <w:sz w:val="28"/>
        </w:rPr>
        <w:t xml:space="preserve">       организаций, по списку, определенному </w:t>
      </w:r>
    </w:p>
    <w:p>
      <w:pPr>
        <w:spacing w:after="0"/>
        <w:ind w:left="0"/>
        <w:jc w:val="both"/>
      </w:pPr>
      <w:r>
        <w:rPr>
          <w:rFonts w:ascii="Times New Roman"/>
          <w:b w:val="false"/>
          <w:i w:val="false"/>
          <w:color w:val="000000"/>
          <w:sz w:val="28"/>
        </w:rPr>
        <w:t xml:space="preserve">       пунктом 2.3. настоящего Положения          - не более 10% </w:t>
      </w:r>
    </w:p>
    <w:p>
      <w:pPr>
        <w:spacing w:after="0"/>
        <w:ind w:left="0"/>
        <w:jc w:val="both"/>
      </w:pPr>
      <w:r>
        <w:rPr>
          <w:rFonts w:ascii="Times New Roman"/>
          <w:b w:val="false"/>
          <w:i w:val="false"/>
          <w:color w:val="000000"/>
          <w:sz w:val="28"/>
        </w:rPr>
        <w:t xml:space="preserve">     - банковские депозитные сертификаты и </w:t>
      </w:r>
    </w:p>
    <w:p>
      <w:pPr>
        <w:spacing w:after="0"/>
        <w:ind w:left="0"/>
        <w:jc w:val="both"/>
      </w:pPr>
      <w:r>
        <w:rPr>
          <w:rFonts w:ascii="Times New Roman"/>
          <w:b w:val="false"/>
          <w:i w:val="false"/>
          <w:color w:val="000000"/>
          <w:sz w:val="28"/>
        </w:rPr>
        <w:t xml:space="preserve">       депозиты в государственных банках </w:t>
      </w:r>
    </w:p>
    <w:p>
      <w:pPr>
        <w:spacing w:after="0"/>
        <w:ind w:left="0"/>
        <w:jc w:val="both"/>
      </w:pPr>
      <w:r>
        <w:rPr>
          <w:rFonts w:ascii="Times New Roman"/>
          <w:b w:val="false"/>
          <w:i w:val="false"/>
          <w:color w:val="000000"/>
          <w:sz w:val="28"/>
        </w:rPr>
        <w:t xml:space="preserve">       второго уровня, по перечню, </w:t>
      </w:r>
    </w:p>
    <w:p>
      <w:pPr>
        <w:spacing w:after="0"/>
        <w:ind w:left="0"/>
        <w:jc w:val="both"/>
      </w:pPr>
      <w:r>
        <w:rPr>
          <w:rFonts w:ascii="Times New Roman"/>
          <w:b w:val="false"/>
          <w:i w:val="false"/>
          <w:color w:val="000000"/>
          <w:sz w:val="28"/>
        </w:rPr>
        <w:t xml:space="preserve">       установленному Национальным Банком </w:t>
      </w:r>
    </w:p>
    <w:p>
      <w:pPr>
        <w:spacing w:after="0"/>
        <w:ind w:left="0"/>
        <w:jc w:val="both"/>
      </w:pPr>
      <w:r>
        <w:rPr>
          <w:rFonts w:ascii="Times New Roman"/>
          <w:b w:val="false"/>
          <w:i w:val="false"/>
          <w:color w:val="000000"/>
          <w:sz w:val="28"/>
        </w:rPr>
        <w:t>       Республики Казахстан                       - не более 40%</w:t>
      </w:r>
    </w:p>
    <w:p>
      <w:pPr>
        <w:spacing w:after="0"/>
        <w:ind w:left="0"/>
        <w:jc w:val="both"/>
      </w:pPr>
      <w:r>
        <w:rPr>
          <w:rFonts w:ascii="Times New Roman"/>
          <w:b w:val="false"/>
          <w:i w:val="false"/>
          <w:color w:val="000000"/>
          <w:sz w:val="28"/>
        </w:rPr>
        <w:t xml:space="preserve">     2.3. ГНПФ вправе выступать инвестором по сделкам с ценными </w:t>
      </w:r>
    </w:p>
    <w:p>
      <w:pPr>
        <w:spacing w:after="0"/>
        <w:ind w:left="0"/>
        <w:jc w:val="both"/>
      </w:pPr>
      <w:r>
        <w:rPr>
          <w:rFonts w:ascii="Times New Roman"/>
          <w:b w:val="false"/>
          <w:i w:val="false"/>
          <w:color w:val="000000"/>
          <w:sz w:val="28"/>
        </w:rPr>
        <w:t xml:space="preserve">бумагами, выпущенными следующими международными финансовыми </w:t>
      </w:r>
    </w:p>
    <w:p>
      <w:pPr>
        <w:spacing w:after="0"/>
        <w:ind w:left="0"/>
        <w:jc w:val="both"/>
      </w:pPr>
      <w:r>
        <w:rPr>
          <w:rFonts w:ascii="Times New Roman"/>
          <w:b w:val="false"/>
          <w:i w:val="false"/>
          <w:color w:val="000000"/>
          <w:sz w:val="28"/>
        </w:rPr>
        <w:t xml:space="preserve">организациями: </w:t>
      </w:r>
    </w:p>
    <w:p>
      <w:pPr>
        <w:spacing w:after="0"/>
        <w:ind w:left="0"/>
        <w:jc w:val="both"/>
      </w:pPr>
      <w:r>
        <w:rPr>
          <w:rFonts w:ascii="Times New Roman"/>
          <w:b w:val="false"/>
          <w:i w:val="false"/>
          <w:color w:val="000000"/>
          <w:sz w:val="28"/>
        </w:rPr>
        <w:t xml:space="preserve">     - Международным банком реконструкции и развития (Всемирным </w:t>
      </w:r>
    </w:p>
    <w:p>
      <w:pPr>
        <w:spacing w:after="0"/>
        <w:ind w:left="0"/>
        <w:jc w:val="both"/>
      </w:pPr>
      <w:r>
        <w:rPr>
          <w:rFonts w:ascii="Times New Roman"/>
          <w:b w:val="false"/>
          <w:i w:val="false"/>
          <w:color w:val="000000"/>
          <w:sz w:val="28"/>
        </w:rPr>
        <w:t xml:space="preserve">банком); </w:t>
      </w:r>
    </w:p>
    <w:p>
      <w:pPr>
        <w:spacing w:after="0"/>
        <w:ind w:left="0"/>
        <w:jc w:val="both"/>
      </w:pPr>
      <w:r>
        <w:rPr>
          <w:rFonts w:ascii="Times New Roman"/>
          <w:b w:val="false"/>
          <w:i w:val="false"/>
          <w:color w:val="000000"/>
          <w:sz w:val="28"/>
        </w:rPr>
        <w:t xml:space="preserve">     - Европейским банком реконструкции и развития; </w:t>
      </w:r>
    </w:p>
    <w:p>
      <w:pPr>
        <w:spacing w:after="0"/>
        <w:ind w:left="0"/>
        <w:jc w:val="both"/>
      </w:pPr>
      <w:r>
        <w:rPr>
          <w:rFonts w:ascii="Times New Roman"/>
          <w:b w:val="false"/>
          <w:i w:val="false"/>
          <w:color w:val="000000"/>
          <w:sz w:val="28"/>
        </w:rPr>
        <w:t xml:space="preserve">     - Межамериканским банком развития; </w:t>
      </w:r>
    </w:p>
    <w:p>
      <w:pPr>
        <w:spacing w:after="0"/>
        <w:ind w:left="0"/>
        <w:jc w:val="both"/>
      </w:pPr>
      <w:r>
        <w:rPr>
          <w:rFonts w:ascii="Times New Roman"/>
          <w:b w:val="false"/>
          <w:i w:val="false"/>
          <w:color w:val="000000"/>
          <w:sz w:val="28"/>
        </w:rPr>
        <w:t xml:space="preserve">     - Банком международных расчетов; </w:t>
      </w:r>
    </w:p>
    <w:p>
      <w:pPr>
        <w:spacing w:after="0"/>
        <w:ind w:left="0"/>
        <w:jc w:val="both"/>
      </w:pPr>
      <w:r>
        <w:rPr>
          <w:rFonts w:ascii="Times New Roman"/>
          <w:b w:val="false"/>
          <w:i w:val="false"/>
          <w:color w:val="000000"/>
          <w:sz w:val="28"/>
        </w:rPr>
        <w:t xml:space="preserve">     - Азиатским банком развития; </w:t>
      </w:r>
    </w:p>
    <w:p>
      <w:pPr>
        <w:spacing w:after="0"/>
        <w:ind w:left="0"/>
        <w:jc w:val="both"/>
      </w:pPr>
      <w:r>
        <w:rPr>
          <w:rFonts w:ascii="Times New Roman"/>
          <w:b w:val="false"/>
          <w:i w:val="false"/>
          <w:color w:val="000000"/>
          <w:sz w:val="28"/>
        </w:rPr>
        <w:t xml:space="preserve">     - Африканским банком развития; </w:t>
      </w:r>
    </w:p>
    <w:p>
      <w:pPr>
        <w:spacing w:after="0"/>
        <w:ind w:left="0"/>
        <w:jc w:val="both"/>
      </w:pPr>
      <w:r>
        <w:rPr>
          <w:rFonts w:ascii="Times New Roman"/>
          <w:b w:val="false"/>
          <w:i w:val="false"/>
          <w:color w:val="000000"/>
          <w:sz w:val="28"/>
        </w:rPr>
        <w:t xml:space="preserve">     - Международной финансовой корпорацией; </w:t>
      </w:r>
    </w:p>
    <w:p>
      <w:pPr>
        <w:spacing w:after="0"/>
        <w:ind w:left="0"/>
        <w:jc w:val="both"/>
      </w:pPr>
      <w:r>
        <w:rPr>
          <w:rFonts w:ascii="Times New Roman"/>
          <w:b w:val="false"/>
          <w:i w:val="false"/>
          <w:color w:val="000000"/>
          <w:sz w:val="28"/>
        </w:rPr>
        <w:t xml:space="preserve">     - Исламским банком развития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 ГНПФ размещает собственные средства в активы, указанные в пункте 2.2. настоящего Положения, в любых размерах, при условии выполнения требований пункта 2.5., 2.6. настоящего Положения. </w:t>
      </w:r>
      <w:r>
        <w:br/>
      </w:r>
      <w:r>
        <w:rPr>
          <w:rFonts w:ascii="Times New Roman"/>
          <w:b w:val="false"/>
          <w:i w:val="false"/>
          <w:color w:val="000000"/>
          <w:sz w:val="28"/>
        </w:rPr>
        <w:t xml:space="preserve">
      2.5. ГНПФ осуществляет сделки с государственными ценными бумагами исключительно на организованном рынке ценных бумаг через первичных дилеров. </w:t>
      </w:r>
      <w:r>
        <w:br/>
      </w:r>
      <w:r>
        <w:rPr>
          <w:rFonts w:ascii="Times New Roman"/>
          <w:b w:val="false"/>
          <w:i w:val="false"/>
          <w:color w:val="000000"/>
          <w:sz w:val="28"/>
        </w:rPr>
        <w:t xml:space="preserve">
      2.6. ГНПФ осуществляет инвестиционные вложения на депозиты и в банковские депозитные сертификаты государственных банков второго уровня по ставкам, не ниже среднего уровня ставок, сложившегося по данному виду депозитов и депозитных сертификатов в государственных банках второго уровня. </w:t>
      </w:r>
      <w:r>
        <w:br/>
      </w:r>
      <w:r>
        <w:rPr>
          <w:rFonts w:ascii="Times New Roman"/>
          <w:b w:val="false"/>
          <w:i w:val="false"/>
          <w:color w:val="000000"/>
          <w:sz w:val="28"/>
        </w:rPr>
        <w:t>
 </w:t>
      </w:r>
      <w:r>
        <w:br/>
      </w:r>
      <w:r>
        <w:rPr>
          <w:rFonts w:ascii="Times New Roman"/>
          <w:b w:val="false"/>
          <w:i w:val="false"/>
          <w:color w:val="000000"/>
          <w:sz w:val="28"/>
        </w:rPr>
        <w:t xml:space="preserve">
             3. Оценка активов ГНПФ и пенсионных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ГНПФ обязан ежедневно производить оценку пенсионных и собственных активов по средневзвешенной стоимости за последние 10 рабочих дней, включая день оценки активов, и направлять в НКЦБ отчетность в порядке, установленном соответствующим положением НКЦБ. </w:t>
      </w:r>
      <w:r>
        <w:br/>
      </w:r>
      <w:r>
        <w:rPr>
          <w:rFonts w:ascii="Times New Roman"/>
          <w:b w:val="false"/>
          <w:i w:val="false"/>
          <w:color w:val="000000"/>
          <w:sz w:val="28"/>
        </w:rPr>
        <w:t xml:space="preserve">
      3.2. Средневзвешенная стоимость ценных бумаг за последние 10 дней определяется, исходя из их рыночной стоимости, согласно котировке ценных бумаг, объявленной организатором торгов за каждый день рассматриваемого периода. </w:t>
      </w:r>
      <w:r>
        <w:br/>
      </w:r>
      <w:r>
        <w:rPr>
          <w:rFonts w:ascii="Times New Roman"/>
          <w:b w:val="false"/>
          <w:i w:val="false"/>
          <w:color w:val="000000"/>
          <w:sz w:val="28"/>
        </w:rPr>
        <w:t xml:space="preserve">
      Котировочной стоимостью ценной бумаги за определенный день у одного организатора торгов является ее средневзвешенная стоимость, сложившаяся, исходя из объема сделок и цены, по которым они проводились. </w:t>
      </w:r>
      <w:r>
        <w:br/>
      </w:r>
      <w:r>
        <w:rPr>
          <w:rFonts w:ascii="Times New Roman"/>
          <w:b w:val="false"/>
          <w:i w:val="false"/>
          <w:color w:val="000000"/>
          <w:sz w:val="28"/>
        </w:rPr>
        <w:t xml:space="preserve">
      Если в определенный день котировочная стоимость ценной бумаги объявлена только одним организатором торгов, стоимость такой ценной бумаги определяется на основании объявленной котировки. </w:t>
      </w:r>
      <w:r>
        <w:br/>
      </w:r>
      <w:r>
        <w:rPr>
          <w:rFonts w:ascii="Times New Roman"/>
          <w:b w:val="false"/>
          <w:i w:val="false"/>
          <w:color w:val="000000"/>
          <w:sz w:val="28"/>
        </w:rPr>
        <w:t xml:space="preserve">
      В случае объявления в определенный день котировочной стоимости по одной и той же ценной бумаге двумя и более организаторами торгов, текущая стоимость ценной бумаги за один торговый день определяется расчетом ее средневзвешенной стоимости. </w:t>
      </w:r>
      <w:r>
        <w:br/>
      </w:r>
      <w:r>
        <w:rPr>
          <w:rFonts w:ascii="Times New Roman"/>
          <w:b w:val="false"/>
          <w:i w:val="false"/>
          <w:color w:val="000000"/>
          <w:sz w:val="28"/>
        </w:rPr>
        <w:t xml:space="preserve">
      Стоимость ценных бумаг международных финансовых организаций, определенных пунктом 2.3. настоящего Положения, оценивается на основании котировок Нью-Йоркской и Лондонской фондовых бирж на день, предшествующий дню оценки стоимости активов. </w:t>
      </w:r>
      <w:r>
        <w:br/>
      </w:r>
      <w:r>
        <w:rPr>
          <w:rFonts w:ascii="Times New Roman"/>
          <w:b w:val="false"/>
          <w:i w:val="false"/>
          <w:color w:val="000000"/>
          <w:sz w:val="28"/>
        </w:rPr>
        <w:t xml:space="preserve">
      Стоимость ценных бумаг, объявляемая согласно котировке в иностранной валюте, подлежит переоценке в тенге по курсу, установленному Национальным Банком Республики Казахстан на день оценки стоимости активов. </w:t>
      </w:r>
      <w:r>
        <w:br/>
      </w:r>
      <w:r>
        <w:rPr>
          <w:rFonts w:ascii="Times New Roman"/>
          <w:b w:val="false"/>
          <w:i w:val="false"/>
          <w:color w:val="000000"/>
          <w:sz w:val="28"/>
        </w:rPr>
        <w:t xml:space="preserve">
      3.3. В случае отсутствия торгов по ценной бумаге, входящей в портфель пенсионных или собственных активов ГНПФ, более 10 рабочих дней, ее стоимость не изменяется до даты возобновления торгов. </w:t>
      </w:r>
      <w:r>
        <w:br/>
      </w:r>
      <w:r>
        <w:rPr>
          <w:rFonts w:ascii="Times New Roman"/>
          <w:b w:val="false"/>
          <w:i w:val="false"/>
          <w:color w:val="000000"/>
          <w:sz w:val="28"/>
        </w:rPr>
        <w:t xml:space="preserve">
      3.4. Текущая стоимость активов, помещенных в банковские депозитные сертификаты и на депозиты в государственных банках второго уровня, определяется путем начисления суммы вознаграждения (интереса) за один день, до истечения срока депозита (депозитного сертификата).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Средства, поступившие на инвестиционный счет ГНПФ, подлежат инвестированию в полном объеме, за минусом текущих отчислений, не позднее 3-х рабочих дней с даты поступления. В случае несоблюдения установленного требования, за каждый день просрочки ГНПФ выплачивает пеню за счет собственных средств в пользу пенсионных активов. Размер пени определяется, исходя из процентной ставки (в расчете на один день обращения) по трехмесячным государственным облигациям, установленной на день, предшествующий дню возникновения просрочки. </w:t>
      </w:r>
      <w:r>
        <w:br/>
      </w:r>
      <w:r>
        <w:rPr>
          <w:rFonts w:ascii="Times New Roman"/>
          <w:b w:val="false"/>
          <w:i w:val="false"/>
          <w:color w:val="000000"/>
          <w:sz w:val="28"/>
        </w:rPr>
        <w:t xml:space="preserve">
      4.2. Исходя из сложившихся на фондовом рынке тенденций, ГНПФ вправе обратиться в НКЦБ с ходатайством о продлении срока инвестирования средств с представлением обоснования, подтверждающего правомерность такого заявления. </w:t>
      </w:r>
      <w:r>
        <w:br/>
      </w:r>
      <w:r>
        <w:rPr>
          <w:rFonts w:ascii="Times New Roman"/>
          <w:b w:val="false"/>
          <w:i w:val="false"/>
          <w:color w:val="000000"/>
          <w:sz w:val="28"/>
        </w:rPr>
        <w:t xml:space="preserve">
      В случае получения разрешения НКЦБ пеня, установленная пунктом </w:t>
      </w:r>
      <w:r>
        <w:br/>
      </w:r>
      <w:r>
        <w:rPr>
          <w:rFonts w:ascii="Times New Roman"/>
          <w:b w:val="false"/>
          <w:i w:val="false"/>
          <w:color w:val="000000"/>
          <w:sz w:val="28"/>
        </w:rPr>
        <w:t xml:space="preserve">
4.1. настоящего Положения, не начисляется. </w:t>
      </w:r>
      <w:r>
        <w:br/>
      </w:r>
      <w:r>
        <w:rPr>
          <w:rFonts w:ascii="Times New Roman"/>
          <w:b w:val="false"/>
          <w:i w:val="false"/>
          <w:color w:val="000000"/>
          <w:sz w:val="28"/>
        </w:rPr>
        <w:t xml:space="preserve">
      4.3. В случае несоответствия доли какого-либо вида пенсионных активов в портфеле ГНПФ пределам, установленным пунктом 2.2. настоящего Положения, ГНПФ обязан прекратить любую инвестиционную деятельность, усугубляющую расхождение, и немедленно устранить несоответствие. </w:t>
      </w:r>
      <w:r>
        <w:br/>
      </w:r>
      <w:r>
        <w:rPr>
          <w:rFonts w:ascii="Times New Roman"/>
          <w:b w:val="false"/>
          <w:i w:val="false"/>
          <w:color w:val="000000"/>
          <w:sz w:val="28"/>
        </w:rPr>
        <w:t xml:space="preserve">
      4.4. ГНПФ запрещается реклама его деятельности, не соответствующая действительности на день ее опубликования. </w:t>
      </w:r>
      <w:r>
        <w:br/>
      </w:r>
      <w:r>
        <w:rPr>
          <w:rFonts w:ascii="Times New Roman"/>
          <w:b w:val="false"/>
          <w:i w:val="false"/>
          <w:color w:val="000000"/>
          <w:sz w:val="28"/>
        </w:rPr>
        <w:t xml:space="preserve">
      4.5. НКЦБ вправе потребовать от ГНПФ внесения изменений в рекламу, не соответствующую действительности, ее прекращения или публикации ее опровержения. </w:t>
      </w:r>
      <w:r>
        <w:br/>
      </w:r>
      <w:r>
        <w:rPr>
          <w:rFonts w:ascii="Times New Roman"/>
          <w:b w:val="false"/>
          <w:i w:val="false"/>
          <w:color w:val="000000"/>
          <w:sz w:val="28"/>
        </w:rPr>
        <w:t xml:space="preserve">
      В случае невыполнения данного требования в установленный НКЦБ срок, НКЦБ вправе опубликовать информацию о несоответствии действительности сведений, содержащихся в рекламе, либо уточнить их за счет ГНПФ, опубликовавшей рекламу. </w:t>
      </w:r>
      <w:r>
        <w:br/>
      </w:r>
      <w:r>
        <w:rPr>
          <w:rFonts w:ascii="Times New Roman"/>
          <w:b w:val="false"/>
          <w:i w:val="false"/>
          <w:color w:val="000000"/>
          <w:sz w:val="28"/>
        </w:rPr>
        <w:t xml:space="preserve">
      4.6. При осуществлении рекламы ГНПФ запрещается: </w:t>
      </w:r>
      <w:r>
        <w:br/>
      </w:r>
      <w:r>
        <w:rPr>
          <w:rFonts w:ascii="Times New Roman"/>
          <w:b w:val="false"/>
          <w:i w:val="false"/>
          <w:color w:val="000000"/>
          <w:sz w:val="28"/>
        </w:rPr>
        <w:t xml:space="preserve">
      - указывать гарантируемую (предполагаемую) сумму (процент) дохода; </w:t>
      </w:r>
      <w:r>
        <w:br/>
      </w:r>
      <w:r>
        <w:rPr>
          <w:rFonts w:ascii="Times New Roman"/>
          <w:b w:val="false"/>
          <w:i w:val="false"/>
          <w:color w:val="000000"/>
          <w:sz w:val="28"/>
        </w:rPr>
        <w:t xml:space="preserve">
      - проводить сравнение результатов своей деятельности с результатами деятельности какой-либо компании по управлению пенсионными активами (сравнение допускается только со средними значениями деятельности всех компаний по управлению пенсионными активами); </w:t>
      </w:r>
      <w:r>
        <w:br/>
      </w:r>
      <w:r>
        <w:rPr>
          <w:rFonts w:ascii="Times New Roman"/>
          <w:b w:val="false"/>
          <w:i w:val="false"/>
          <w:color w:val="000000"/>
          <w:sz w:val="28"/>
        </w:rPr>
        <w:t xml:space="preserve">
      - проводить сравнение результатов деятельности ГНПФ на отдельный промежуток времени без указания стандартной динамики аналогичного сравнения (один, три, пять, десять лет). </w:t>
      </w:r>
      <w:r>
        <w:br/>
      </w:r>
      <w:r>
        <w:rPr>
          <w:rFonts w:ascii="Times New Roman"/>
          <w:b w:val="false"/>
          <w:i w:val="false"/>
          <w:color w:val="000000"/>
          <w:sz w:val="28"/>
        </w:rPr>
        <w:t xml:space="preserve">
      4.7. ГНПФ вправе обжаловать действия НКЦБ по отношению к нему в судебном порядке. Обжалование письменного предписания НКЦБ не приостанавливает его исполнения.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