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ea34" w14:textId="98fe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Методические указания по порядку предоставления льгот и преференций, определению их размеров и сроков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постановлением Государственного комитета Республики Казахстан по инвестициям от 13 июня 1997 г. N 20. Зарегистрированы в Министерстве юстиции Республики Казахстан 20 октября 1997 г. N 410. Утратили силу - постановлением Госкомитета РК по инвестициям от 7 августа 1998г. N 131 (~V980579)</w:t>
      </w:r>
    </w:p>
    <w:p>
      <w:pPr>
        <w:spacing w:after="0"/>
        <w:ind w:left="0"/>
        <w:jc w:val="both"/>
      </w:pPr>
      <w:bookmarkStart w:name="z0" w:id="0"/>
      <w:r>
        <w:rPr>
          <w:rFonts w:ascii="Times New Roman"/>
          <w:b w:val="false"/>
          <w:i w:val="false"/>
          <w:color w:val="000000"/>
          <w:sz w:val="28"/>
        </w:rPr>
        <w:t>
      В соответствии со статьей 7 Закона Республики Казахстан </w:t>
      </w:r>
      <w:r>
        <w:rPr>
          <w:rFonts w:ascii="Times New Roman"/>
          <w:b w:val="false"/>
          <w:i w:val="false"/>
          <w:color w:val="000000"/>
          <w:sz w:val="28"/>
        </w:rPr>
        <w:t xml:space="preserve">Z970075_ </w:t>
      </w:r>
      <w:r>
        <w:rPr>
          <w:rFonts w:ascii="Times New Roman"/>
          <w:b w:val="false"/>
          <w:i w:val="false"/>
          <w:color w:val="000000"/>
          <w:sz w:val="28"/>
        </w:rPr>
        <w:t>"О государственной поддержке прямых инвестиций" от 28 февраля 1997 года и "Положением о системе льгот и преференций и порядке их предоставления при заключении контрактов с инвесторами", утвержденного Указом Президента Республики Казахстан N 3445 </w:t>
      </w:r>
      <w:r>
        <w:rPr>
          <w:rFonts w:ascii="Times New Roman"/>
          <w:b w:val="false"/>
          <w:i w:val="false"/>
          <w:color w:val="000000"/>
          <w:sz w:val="28"/>
        </w:rPr>
        <w:t xml:space="preserve">U973445_ </w:t>
      </w:r>
      <w:r>
        <w:rPr>
          <w:rFonts w:ascii="Times New Roman"/>
          <w:b w:val="false"/>
          <w:i w:val="false"/>
          <w:color w:val="000000"/>
          <w:sz w:val="28"/>
        </w:rPr>
        <w:t xml:space="preserve">от 5 апреля 1997 года, Государственный комитет Республики Казахстан по инвестициям постановляет: </w:t>
      </w:r>
      <w:r>
        <w:br/>
      </w:r>
      <w:r>
        <w:rPr>
          <w:rFonts w:ascii="Times New Roman"/>
          <w:b w:val="false"/>
          <w:i w:val="false"/>
          <w:color w:val="000000"/>
          <w:sz w:val="28"/>
        </w:rPr>
        <w:t xml:space="preserve">
      Утвердить прилагаемые "Методические указания по порядку предоставления льгот и преференций, определения их размеров".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Настоящие Методические указания разработаны на основании статьи 7 Закона Республики Казахстан "О государственной поддержке прямых инвестиций" и "Положения о системе льгот и преференций и порядке их предоставления при заключении контрактов с инвесторами", утвержденного Указом Президента Республики Казахстан N 3445 от 5 апреля 1997 года. Целью настоящих Методических указаний является определение порядка предоставления Государственным комитетом Республики Казахстан по инвестициям (далее Комитет) льгот и преференций, их размеров и сроков.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предоставления льгот и преференций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Льготы и преференции предоставляются при условии соответствия инвестиционного проекта критериям и условиям, определенным "Положением о системе льгот и преференций и порядке их предоставления при заключении контрактов с инвесторами". </w:t>
      </w:r>
      <w:r>
        <w:br/>
      </w:r>
      <w:r>
        <w:rPr>
          <w:rFonts w:ascii="Times New Roman"/>
          <w:b w:val="false"/>
          <w:i w:val="false"/>
          <w:color w:val="000000"/>
          <w:sz w:val="28"/>
        </w:rPr>
        <w:t xml:space="preserve">
      Льготы и преференции предоставляются инвестору в следующей очередности: </w:t>
      </w:r>
      <w:r>
        <w:br/>
      </w:r>
      <w:r>
        <w:rPr>
          <w:rFonts w:ascii="Times New Roman"/>
          <w:b w:val="false"/>
          <w:i w:val="false"/>
          <w:color w:val="000000"/>
          <w:sz w:val="28"/>
        </w:rPr>
        <w:t xml:space="preserve">
      государственные натурные гранты </w:t>
      </w:r>
      <w:r>
        <w:br/>
      </w:r>
      <w:r>
        <w:rPr>
          <w:rFonts w:ascii="Times New Roman"/>
          <w:b w:val="false"/>
          <w:i w:val="false"/>
          <w:color w:val="000000"/>
          <w:sz w:val="28"/>
        </w:rPr>
        <w:t xml:space="preserve">
      таможенные льготы </w:t>
      </w:r>
      <w:r>
        <w:br/>
      </w:r>
      <w:r>
        <w:rPr>
          <w:rFonts w:ascii="Times New Roman"/>
          <w:b w:val="false"/>
          <w:i w:val="false"/>
          <w:color w:val="000000"/>
          <w:sz w:val="28"/>
        </w:rPr>
        <w:t xml:space="preserve">
      льгота по земельному налогу </w:t>
      </w:r>
      <w:r>
        <w:br/>
      </w:r>
      <w:r>
        <w:rPr>
          <w:rFonts w:ascii="Times New Roman"/>
          <w:b w:val="false"/>
          <w:i w:val="false"/>
          <w:color w:val="000000"/>
          <w:sz w:val="28"/>
        </w:rPr>
        <w:t xml:space="preserve">
      льгота по налогу на имущество </w:t>
      </w:r>
      <w:r>
        <w:br/>
      </w:r>
      <w:r>
        <w:rPr>
          <w:rFonts w:ascii="Times New Roman"/>
          <w:b w:val="false"/>
          <w:i w:val="false"/>
          <w:color w:val="000000"/>
          <w:sz w:val="28"/>
        </w:rPr>
        <w:t xml:space="preserve">
      льгота по подоходному налогу </w:t>
      </w:r>
      <w:r>
        <w:br/>
      </w:r>
      <w:r>
        <w:rPr>
          <w:rFonts w:ascii="Times New Roman"/>
          <w:b w:val="false"/>
          <w:i w:val="false"/>
          <w:color w:val="000000"/>
          <w:sz w:val="28"/>
        </w:rPr>
        <w:t xml:space="preserve">
      После предоставления каждой льготы в вышеуказанной очередности Комитет анализирует показатели экономики проекта и определяет целесообразность предоставления следующей льготы.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Порядок предоставления государственных натурных грантов и </w:t>
      </w:r>
      <w:r>
        <w:br/>
      </w:r>
      <w:r>
        <w:rPr>
          <w:rFonts w:ascii="Times New Roman"/>
          <w:b w:val="false"/>
          <w:i w:val="false"/>
          <w:color w:val="000000"/>
          <w:sz w:val="28"/>
        </w:rPr>
        <w:t xml:space="preserve">
                             их размеры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Исходя из установленного перечня государственного имущества в виде земельных участков, основных средств, производственных запасов, предусмотренных для передачи в виде государственных натурных грантов потенциальному инвестору для осуществления деятельности в приоритетном секторе экономики с учетом экономической целесообразности может быть предоставлено конкретное имущество или имущественные права (нематериальные активы) в виде государственного натурного гранта, (далее грант). </w:t>
      </w:r>
      <w:r>
        <w:br/>
      </w:r>
      <w:r>
        <w:rPr>
          <w:rFonts w:ascii="Times New Roman"/>
          <w:b w:val="false"/>
          <w:i w:val="false"/>
          <w:color w:val="000000"/>
          <w:sz w:val="28"/>
        </w:rPr>
        <w:t xml:space="preserve">
      Земли сельскохозяйственного назначения передаются в виде государственного натурного гранта инвесторам в постоянное землепользование или во временное безвозмездное землепользование, осуществляющим инвестиции в сельское хозяйство, при условии применения ими высокоэффективной агротехники и передовой технологии в процессе производства и переработки сельскохозяйственной </w:t>
      </w:r>
    </w:p>
    <w:bookmarkEnd w:id="0"/>
    <w:bookmarkStart w:name="z7"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продукции.</w:t>
      </w:r>
    </w:p>
    <w:p>
      <w:pPr>
        <w:spacing w:after="0"/>
        <w:ind w:left="0"/>
        <w:jc w:val="both"/>
      </w:pPr>
      <w:r>
        <w:rPr>
          <w:rFonts w:ascii="Times New Roman"/>
          <w:b w:val="false"/>
          <w:i w:val="false"/>
          <w:color w:val="000000"/>
          <w:sz w:val="28"/>
        </w:rPr>
        <w:t>     Безвозмездная передача земельных участков, находящихся в</w:t>
      </w:r>
    </w:p>
    <w:p>
      <w:pPr>
        <w:spacing w:after="0"/>
        <w:ind w:left="0"/>
        <w:jc w:val="both"/>
      </w:pPr>
      <w:r>
        <w:rPr>
          <w:rFonts w:ascii="Times New Roman"/>
          <w:b w:val="false"/>
          <w:i w:val="false"/>
          <w:color w:val="000000"/>
          <w:sz w:val="28"/>
        </w:rPr>
        <w:t>государственной собственности, производится также для осуществления</w:t>
      </w:r>
    </w:p>
    <w:p>
      <w:pPr>
        <w:spacing w:after="0"/>
        <w:ind w:left="0"/>
        <w:jc w:val="both"/>
      </w:pPr>
      <w:r>
        <w:rPr>
          <w:rFonts w:ascii="Times New Roman"/>
          <w:b w:val="false"/>
          <w:i w:val="false"/>
          <w:color w:val="000000"/>
          <w:sz w:val="28"/>
        </w:rPr>
        <w:t>строительства новых производственных проектов.</w:t>
      </w:r>
    </w:p>
    <w:p>
      <w:pPr>
        <w:spacing w:after="0"/>
        <w:ind w:left="0"/>
        <w:jc w:val="both"/>
      </w:pPr>
      <w:r>
        <w:rPr>
          <w:rFonts w:ascii="Times New Roman"/>
          <w:b w:val="false"/>
          <w:i w:val="false"/>
          <w:color w:val="000000"/>
          <w:sz w:val="28"/>
        </w:rPr>
        <w:t>     Размер грантов, предоставляемых инвесторам, находится в прямой</w:t>
      </w:r>
    </w:p>
    <w:p>
      <w:pPr>
        <w:spacing w:after="0"/>
        <w:ind w:left="0"/>
        <w:jc w:val="both"/>
      </w:pPr>
      <w:r>
        <w:rPr>
          <w:rFonts w:ascii="Times New Roman"/>
          <w:b w:val="false"/>
          <w:i w:val="false"/>
          <w:color w:val="000000"/>
          <w:sz w:val="28"/>
        </w:rPr>
        <w:t>зависимости от объема прямых инвестиций по следующей шкале: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Объем прямых инвестиций       !Максимально допустимый размер</w:t>
      </w:r>
    </w:p>
    <w:p>
      <w:pPr>
        <w:spacing w:after="0"/>
        <w:ind w:left="0"/>
        <w:jc w:val="both"/>
      </w:pPr>
      <w:r>
        <w:rPr>
          <w:rFonts w:ascii="Times New Roman"/>
          <w:b w:val="false"/>
          <w:i w:val="false"/>
          <w:color w:val="000000"/>
          <w:sz w:val="28"/>
        </w:rPr>
        <w:t>   ! (миллионов долларов США)      !гранта (от объема прямых</w:t>
      </w:r>
    </w:p>
    <w:p>
      <w:pPr>
        <w:spacing w:after="0"/>
        <w:ind w:left="0"/>
        <w:jc w:val="both"/>
      </w:pPr>
      <w:r>
        <w:rPr>
          <w:rFonts w:ascii="Times New Roman"/>
          <w:b w:val="false"/>
          <w:i w:val="false"/>
          <w:color w:val="000000"/>
          <w:sz w:val="28"/>
        </w:rPr>
        <w:t>   !                               !инвестиций) в процентах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меньше 1             !               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          от 1 до 5            !               75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          свыше 5              !              100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отдельным капиталоемким проектам может быть принято решение о неприменении указанных ограничений при предоставлении гранта. </w:t>
      </w:r>
      <w:r>
        <w:br/>
      </w:r>
      <w:r>
        <w:rPr>
          <w:rFonts w:ascii="Times New Roman"/>
          <w:b w:val="false"/>
          <w:i w:val="false"/>
          <w:color w:val="000000"/>
          <w:sz w:val="28"/>
        </w:rPr>
        <w:t xml:space="preserve">
      После определения конкретного государственного имущества для передачи в качестве гранта, компетентный государственный орган проводит оценку передаваемого государственного имущества. Результаты проведенной оценки гранта представляются в Комитет в установленные им сроки. </w:t>
      </w:r>
      <w:r>
        <w:br/>
      </w:r>
      <w:r>
        <w:rPr>
          <w:rFonts w:ascii="Times New Roman"/>
          <w:b w:val="false"/>
          <w:i w:val="false"/>
          <w:color w:val="000000"/>
          <w:sz w:val="28"/>
        </w:rPr>
        <w:t>
 </w:t>
      </w:r>
      <w:r>
        <w:br/>
      </w:r>
      <w:r>
        <w:rPr>
          <w:rFonts w:ascii="Times New Roman"/>
          <w:b w:val="false"/>
          <w:i w:val="false"/>
          <w:color w:val="000000"/>
          <w:sz w:val="28"/>
        </w:rPr>
        <w:t xml:space="preserve">
       3. Порядок освобождения от импортной таможенной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Инвестор, осуществляющий организацию нового производства, и экспортирующий готовую продукцию, полностью освобождается от уплаты таможенных пошлин на ввозимое оборудование, сырье, материалы и комплектующие изделия. </w:t>
      </w:r>
      <w:r>
        <w:br/>
      </w:r>
      <w:r>
        <w:rPr>
          <w:rFonts w:ascii="Times New Roman"/>
          <w:b w:val="false"/>
          <w:i w:val="false"/>
          <w:color w:val="000000"/>
          <w:sz w:val="28"/>
        </w:rPr>
        <w:t xml:space="preserve">
      Полное освобождение от уплаты таможенных пошлин в других случаях инвестору предоставляется при условии ввоза современного оборудования, соответствующего международным экологическим и технологическим стандартам и ввоза высококачественного сырья и материалов, необходимых для осуществления инвестиционного проекта. </w:t>
      </w:r>
      <w:r>
        <w:br/>
      </w:r>
      <w:r>
        <w:rPr>
          <w:rFonts w:ascii="Times New Roman"/>
          <w:b w:val="false"/>
          <w:i w:val="false"/>
          <w:color w:val="000000"/>
          <w:sz w:val="28"/>
        </w:rPr>
        <w:t xml:space="preserve">
      Частичное освобождение от уплаты таможенных пошлин в виде снижения до 50 % установленной ставки таможенной пошлины предоставляется при ввозе оборудования, сырья и материалов, которые производятся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Порядок предоставления налоговых льгот и определения их </w:t>
      </w:r>
      <w:r>
        <w:br/>
      </w:r>
      <w:r>
        <w:rPr>
          <w:rFonts w:ascii="Times New Roman"/>
          <w:b w:val="false"/>
          <w:i w:val="false"/>
          <w:color w:val="000000"/>
          <w:sz w:val="28"/>
        </w:rPr>
        <w:t xml:space="preserve">
                          размеров и сроков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Решение о временном освобождении от уплаты земельного налога или снижении ставки налога принимается при условии строительства новых производственных объектов и инвестиций в сельское хозяйство. </w:t>
      </w:r>
      <w:r>
        <w:br/>
      </w:r>
      <w:r>
        <w:rPr>
          <w:rFonts w:ascii="Times New Roman"/>
          <w:b w:val="false"/>
          <w:i w:val="false"/>
          <w:color w:val="000000"/>
          <w:sz w:val="28"/>
        </w:rPr>
        <w:t xml:space="preserve">
      Решение о временном освобождении от уплаты налога на имущество или снижении ставки налога принимается при условии строительства новых производственных объектов, характеризующихся высокой капиталоемкостью, инвестициями в оборудование и производственные мощности и значительного превышения расходов над доходами в первые годы реализации инвестиционного проекта. </w:t>
      </w:r>
      <w:r>
        <w:br/>
      </w:r>
      <w:r>
        <w:rPr>
          <w:rFonts w:ascii="Times New Roman"/>
          <w:b w:val="false"/>
          <w:i w:val="false"/>
          <w:color w:val="000000"/>
          <w:sz w:val="28"/>
        </w:rPr>
        <w:t xml:space="preserve">
      Решение о временном освобождении от уплаты подоходного налога или снижении ставки налога принимается по проектам, создающим новые рабочие места, увеличивающим объемы выпускаемой продукции, расширяющим экспорт или сокращающим импорт. Льгота по подоходному налогу предоставляется по проектам, расчетная эффективность которых с учетом предоставления других льгот и преференций, не обеспечивает необходимую для инвестора рентабельность вложений. </w:t>
      </w:r>
      <w:r>
        <w:br/>
      </w:r>
      <w:r>
        <w:rPr>
          <w:rFonts w:ascii="Times New Roman"/>
          <w:b w:val="false"/>
          <w:i w:val="false"/>
          <w:color w:val="000000"/>
          <w:sz w:val="28"/>
        </w:rPr>
        <w:t xml:space="preserve">
      Соответствие инвестиционного проекта критериям и условиям определяется комплексной экспертизой в порядке, установленном положениями "О порядке организации и проведения экспертизы инвестиционной заявки" и "О порядке организации и проведения экспертизы контракта между Государственным комитетом Республики Казахстан по инвестициям и инвестором", утвержденными постановлениями Государственного комитете Республики Казахстан по инвестициям N 12 и N 14 от 17 апреля 1997 г. и 28 марта 1997 г.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соответственно.</w:t>
      </w:r>
    </w:p>
    <w:p>
      <w:pPr>
        <w:spacing w:after="0"/>
        <w:ind w:left="0"/>
        <w:jc w:val="both"/>
      </w:pPr>
      <w:r>
        <w:rPr>
          <w:rFonts w:ascii="Times New Roman"/>
          <w:b w:val="false"/>
          <w:i w:val="false"/>
          <w:color w:val="000000"/>
          <w:sz w:val="28"/>
        </w:rPr>
        <w:t>     При положительном заключении по результатам вышеуказанной</w:t>
      </w:r>
    </w:p>
    <w:p>
      <w:pPr>
        <w:spacing w:after="0"/>
        <w:ind w:left="0"/>
        <w:jc w:val="both"/>
      </w:pPr>
      <w:r>
        <w:rPr>
          <w:rFonts w:ascii="Times New Roman"/>
          <w:b w:val="false"/>
          <w:i w:val="false"/>
          <w:color w:val="000000"/>
          <w:sz w:val="28"/>
        </w:rPr>
        <w:t>комплексной экспертизы проекта на соответствие основным критериям и</w:t>
      </w:r>
    </w:p>
    <w:p>
      <w:pPr>
        <w:spacing w:after="0"/>
        <w:ind w:left="0"/>
        <w:jc w:val="both"/>
      </w:pPr>
      <w:r>
        <w:rPr>
          <w:rFonts w:ascii="Times New Roman"/>
          <w:b w:val="false"/>
          <w:i w:val="false"/>
          <w:color w:val="000000"/>
          <w:sz w:val="28"/>
        </w:rPr>
        <w:t>условиям, утвержденному инвестору могут быть предоставлены льготы по</w:t>
      </w:r>
    </w:p>
    <w:p>
      <w:pPr>
        <w:spacing w:after="0"/>
        <w:ind w:left="0"/>
        <w:jc w:val="both"/>
      </w:pPr>
      <w:r>
        <w:rPr>
          <w:rFonts w:ascii="Times New Roman"/>
          <w:b w:val="false"/>
          <w:i w:val="false"/>
          <w:color w:val="000000"/>
          <w:sz w:val="28"/>
        </w:rPr>
        <w:t>земельному налогу, налогу на имущество и подоходному налогу в</w:t>
      </w:r>
    </w:p>
    <w:p>
      <w:pPr>
        <w:spacing w:after="0"/>
        <w:ind w:left="0"/>
        <w:jc w:val="both"/>
      </w:pPr>
      <w:r>
        <w:rPr>
          <w:rFonts w:ascii="Times New Roman"/>
          <w:b w:val="false"/>
          <w:i w:val="false"/>
          <w:color w:val="000000"/>
          <w:sz w:val="28"/>
        </w:rPr>
        <w:t>зависимости от объема прямых инвестиций в следующих предельных</w:t>
      </w:r>
    </w:p>
    <w:p>
      <w:pPr>
        <w:spacing w:after="0"/>
        <w:ind w:left="0"/>
        <w:jc w:val="both"/>
      </w:pPr>
      <w:r>
        <w:rPr>
          <w:rFonts w:ascii="Times New Roman"/>
          <w:b w:val="false"/>
          <w:i w:val="false"/>
          <w:color w:val="000000"/>
          <w:sz w:val="28"/>
        </w:rPr>
        <w:t>размерах: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!Предельные размеры снижения ставок земельного</w:t>
      </w:r>
    </w:p>
    <w:p>
      <w:pPr>
        <w:spacing w:after="0"/>
        <w:ind w:left="0"/>
        <w:jc w:val="both"/>
      </w:pPr>
      <w:r>
        <w:rPr>
          <w:rFonts w:ascii="Times New Roman"/>
          <w:b w:val="false"/>
          <w:i w:val="false"/>
          <w:color w:val="000000"/>
          <w:sz w:val="28"/>
        </w:rPr>
        <w:t>                    !налога, налога на имущество и подоходного</w:t>
      </w:r>
    </w:p>
    <w:p>
      <w:pPr>
        <w:spacing w:after="0"/>
        <w:ind w:left="0"/>
        <w:jc w:val="both"/>
      </w:pPr>
      <w:r>
        <w:rPr>
          <w:rFonts w:ascii="Times New Roman"/>
          <w:b w:val="false"/>
          <w:i w:val="false"/>
          <w:color w:val="000000"/>
          <w:sz w:val="28"/>
        </w:rPr>
        <w:t>                    !налога (проценты) в зависимости от объема</w:t>
      </w:r>
    </w:p>
    <w:p>
      <w:pPr>
        <w:spacing w:after="0"/>
        <w:ind w:left="0"/>
        <w:jc w:val="both"/>
      </w:pPr>
      <w:r>
        <w:rPr>
          <w:rFonts w:ascii="Times New Roman"/>
          <w:b w:val="false"/>
          <w:i w:val="false"/>
          <w:color w:val="000000"/>
          <w:sz w:val="28"/>
        </w:rPr>
        <w:t>                    !прямых инвестиций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Объем прямых        !первый период до 5 лет !второй период до 5 лет</w:t>
      </w:r>
    </w:p>
    <w:p>
      <w:pPr>
        <w:spacing w:after="0"/>
        <w:ind w:left="0"/>
        <w:jc w:val="both"/>
      </w:pPr>
      <w:r>
        <w:rPr>
          <w:rFonts w:ascii="Times New Roman"/>
          <w:b w:val="false"/>
          <w:i w:val="false"/>
          <w:color w:val="000000"/>
          <w:sz w:val="28"/>
        </w:rPr>
        <w:t>инвестиций          !                       !</w:t>
      </w:r>
    </w:p>
    <w:p>
      <w:pPr>
        <w:spacing w:after="0"/>
        <w:ind w:left="0"/>
        <w:jc w:val="both"/>
      </w:pPr>
      <w:r>
        <w:rPr>
          <w:rFonts w:ascii="Times New Roman"/>
          <w:b w:val="false"/>
          <w:i w:val="false"/>
          <w:color w:val="000000"/>
          <w:sz w:val="28"/>
        </w:rPr>
        <w:t>(миллионов долларов !                       !</w:t>
      </w:r>
    </w:p>
    <w:p>
      <w:pPr>
        <w:spacing w:after="0"/>
        <w:ind w:left="0"/>
        <w:jc w:val="both"/>
      </w:pPr>
      <w:r>
        <w:rPr>
          <w:rFonts w:ascii="Times New Roman"/>
          <w:b w:val="false"/>
          <w:i w:val="false"/>
          <w:color w:val="000000"/>
          <w:sz w:val="28"/>
        </w:rPr>
        <w:t>США)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меньше 1      !          50           !          25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от 1 до 3      !          70           !          35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от 3 до 5      !          90           !          45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свыше 5        !         100           !          50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Решение о снижении ставок налогов в размерах предельных процентов их снижения принимается при условии полного соответствия проекта всем установленным критериям. При неполном соответствии отдельным критериям предельные проценты подвергаются снижению, но не более, чем на 50%. Указанное снижение производится при неполном соответствии таким критериям, как: новизна внедряемой техники и технологии, современный менеджмент, передовые методы маркетинга, обучение и переподготовка менеджеров, инженерно-технического персонала и рабочих. </w:t>
      </w:r>
      <w:r>
        <w:br/>
      </w:r>
      <w:r>
        <w:rPr>
          <w:rFonts w:ascii="Times New Roman"/>
          <w:b w:val="false"/>
          <w:i w:val="false"/>
          <w:color w:val="000000"/>
          <w:sz w:val="28"/>
        </w:rPr>
        <w:t xml:space="preserve">
      Сроки предоставления налоговых льгот определяются Комитетом по каждому инвестиционному проекту на основе анализа экономики проекта, но не более срока окупаемости, определенного экспертизой проекта. </w:t>
      </w:r>
      <w:r>
        <w:br/>
      </w:r>
      <w:r>
        <w:rPr>
          <w:rFonts w:ascii="Times New Roman"/>
          <w:b w:val="false"/>
          <w:i w:val="false"/>
          <w:color w:val="000000"/>
          <w:sz w:val="28"/>
        </w:rPr>
        <w:t>
 </w:t>
      </w:r>
      <w:r>
        <w:br/>
      </w:r>
      <w:r>
        <w:rPr>
          <w:rFonts w:ascii="Times New Roman"/>
          <w:b w:val="false"/>
          <w:i w:val="false"/>
          <w:color w:val="000000"/>
          <w:sz w:val="28"/>
        </w:rPr>
        <w:t xml:space="preserve">
            5. Порядок исчисления бюджетной эффективности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Решение о предоставлении налоговых и таможенных льгот принимается Советом директоров только при наличии бюджетной эффективности по проекту, определяемой как превышение доходов при реализации инвестиционного проекта над расходами, возникающими при предоставлении налоговых и таможенных льгот утвержденным инвесторам. </w:t>
      </w:r>
      <w:r>
        <w:br/>
      </w:r>
      <w:r>
        <w:rPr>
          <w:rFonts w:ascii="Times New Roman"/>
          <w:b w:val="false"/>
          <w:i w:val="false"/>
          <w:color w:val="000000"/>
          <w:sz w:val="28"/>
        </w:rPr>
        <w:t xml:space="preserve">
      В состав доходов включаются: </w:t>
      </w:r>
      <w:r>
        <w:br/>
      </w:r>
      <w:r>
        <w:rPr>
          <w:rFonts w:ascii="Times New Roman"/>
          <w:b w:val="false"/>
          <w:i w:val="false"/>
          <w:color w:val="000000"/>
          <w:sz w:val="28"/>
        </w:rPr>
        <w:t xml:space="preserve">
      налог на добавленную стоимость; </w:t>
      </w:r>
      <w:r>
        <w:br/>
      </w:r>
      <w:r>
        <w:rPr>
          <w:rFonts w:ascii="Times New Roman"/>
          <w:b w:val="false"/>
          <w:i w:val="false"/>
          <w:color w:val="000000"/>
          <w:sz w:val="28"/>
        </w:rPr>
        <w:t xml:space="preserve">
      поступающие в бюджет таможенные пошлины, не вошедшие в систему льгот и преференций, и акцизы по продуктам (ресурсам), производимым в соответствии с проектом; </w:t>
      </w:r>
      <w:r>
        <w:br/>
      </w:r>
      <w:r>
        <w:rPr>
          <w:rFonts w:ascii="Times New Roman"/>
          <w:b w:val="false"/>
          <w:i w:val="false"/>
          <w:color w:val="000000"/>
          <w:sz w:val="28"/>
        </w:rPr>
        <w:t xml:space="preserve">
      налог на землю, налог на имущество и подоходный налог, не вошедшие в систему льгот и преференций, или уплачиваемые после окончания срока действия предоставленных льгот; </w:t>
      </w:r>
      <w:r>
        <w:br/>
      </w:r>
      <w:r>
        <w:rPr>
          <w:rFonts w:ascii="Times New Roman"/>
          <w:b w:val="false"/>
          <w:i w:val="false"/>
          <w:color w:val="000000"/>
          <w:sz w:val="28"/>
        </w:rPr>
        <w:t xml:space="preserve">
      поступления в бюджет подоходного налога с заработной платы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казахстанских и иностранных работников, начисленной за выполнение</w:t>
      </w:r>
    </w:p>
    <w:p>
      <w:pPr>
        <w:spacing w:after="0"/>
        <w:ind w:left="0"/>
        <w:jc w:val="both"/>
      </w:pPr>
      <w:r>
        <w:rPr>
          <w:rFonts w:ascii="Times New Roman"/>
          <w:b w:val="false"/>
          <w:i w:val="false"/>
          <w:color w:val="000000"/>
          <w:sz w:val="28"/>
        </w:rPr>
        <w:t>работ, предусмотренных проектом;</w:t>
      </w:r>
    </w:p>
    <w:p>
      <w:pPr>
        <w:spacing w:after="0"/>
        <w:ind w:left="0"/>
        <w:jc w:val="both"/>
      </w:pPr>
      <w:r>
        <w:rPr>
          <w:rFonts w:ascii="Times New Roman"/>
          <w:b w:val="false"/>
          <w:i w:val="false"/>
          <w:color w:val="000000"/>
          <w:sz w:val="28"/>
        </w:rPr>
        <w:t>     другие налоги, предусмотренные налоговым законодательством;</w:t>
      </w:r>
    </w:p>
    <w:p>
      <w:pPr>
        <w:spacing w:after="0"/>
        <w:ind w:left="0"/>
        <w:jc w:val="both"/>
      </w:pPr>
      <w:r>
        <w:rPr>
          <w:rFonts w:ascii="Times New Roman"/>
          <w:b w:val="false"/>
          <w:i w:val="false"/>
          <w:color w:val="000000"/>
          <w:sz w:val="28"/>
        </w:rPr>
        <w:t>     платежи в Государственный фонд социального страхования, фонд</w:t>
      </w:r>
    </w:p>
    <w:p>
      <w:pPr>
        <w:spacing w:after="0"/>
        <w:ind w:left="0"/>
        <w:jc w:val="both"/>
      </w:pPr>
      <w:r>
        <w:rPr>
          <w:rFonts w:ascii="Times New Roman"/>
          <w:b w:val="false"/>
          <w:i w:val="false"/>
          <w:color w:val="000000"/>
          <w:sz w:val="28"/>
        </w:rPr>
        <w:t>занятости и дорожный фонд.</w:t>
      </w:r>
    </w:p>
    <w:p>
      <w:pPr>
        <w:spacing w:after="0"/>
        <w:ind w:left="0"/>
        <w:jc w:val="both"/>
      </w:pPr>
      <w:r>
        <w:rPr>
          <w:rFonts w:ascii="Times New Roman"/>
          <w:b w:val="false"/>
          <w:i w:val="false"/>
          <w:color w:val="000000"/>
          <w:sz w:val="28"/>
        </w:rPr>
        <w:t>     В состав расходов включаются:</w:t>
      </w:r>
    </w:p>
    <w:p>
      <w:pPr>
        <w:spacing w:after="0"/>
        <w:ind w:left="0"/>
        <w:jc w:val="both"/>
      </w:pPr>
      <w:r>
        <w:rPr>
          <w:rFonts w:ascii="Times New Roman"/>
          <w:b w:val="false"/>
          <w:i w:val="false"/>
          <w:color w:val="000000"/>
          <w:sz w:val="28"/>
        </w:rPr>
        <w:t>     льготы по налогу на землю, налогу на имущество и подоходному</w:t>
      </w:r>
    </w:p>
    <w:p>
      <w:pPr>
        <w:spacing w:after="0"/>
        <w:ind w:left="0"/>
        <w:jc w:val="both"/>
      </w:pPr>
      <w:r>
        <w:rPr>
          <w:rFonts w:ascii="Times New Roman"/>
          <w:b w:val="false"/>
          <w:i w:val="false"/>
          <w:color w:val="000000"/>
          <w:sz w:val="28"/>
        </w:rPr>
        <w:t>налогу;</w:t>
      </w:r>
    </w:p>
    <w:p>
      <w:pPr>
        <w:spacing w:after="0"/>
        <w:ind w:left="0"/>
        <w:jc w:val="both"/>
      </w:pPr>
      <w:r>
        <w:rPr>
          <w:rFonts w:ascii="Times New Roman"/>
          <w:b w:val="false"/>
          <w:i w:val="false"/>
          <w:color w:val="000000"/>
          <w:sz w:val="28"/>
        </w:rPr>
        <w:t>     освобождение от уплаты таможенной пошлины.</w:t>
      </w:r>
    </w:p>
    <w:p>
      <w:pPr>
        <w:spacing w:after="0"/>
        <w:ind w:left="0"/>
        <w:jc w:val="both"/>
      </w:pPr>
      <w:r>
        <w:rPr>
          <w:rFonts w:ascii="Times New Roman"/>
          <w:b w:val="false"/>
          <w:i w:val="false"/>
          <w:color w:val="000000"/>
          <w:sz w:val="28"/>
        </w:rPr>
        <w:t>     Для определения бюджетной эффективности анализу подвергаются</w:t>
      </w:r>
    </w:p>
    <w:p>
      <w:pPr>
        <w:spacing w:after="0"/>
        <w:ind w:left="0"/>
        <w:jc w:val="both"/>
      </w:pPr>
      <w:r>
        <w:rPr>
          <w:rFonts w:ascii="Times New Roman"/>
          <w:b w:val="false"/>
          <w:i w:val="false"/>
          <w:color w:val="000000"/>
          <w:sz w:val="28"/>
        </w:rPr>
        <w:t>следующие показатели:</w:t>
      </w:r>
    </w:p>
    <w:p>
      <w:pPr>
        <w:spacing w:after="0"/>
        <w:ind w:left="0"/>
        <w:jc w:val="both"/>
      </w:pPr>
      <w:r>
        <w:rPr>
          <w:rFonts w:ascii="Times New Roman"/>
          <w:b w:val="false"/>
          <w:i w:val="false"/>
          <w:color w:val="000000"/>
          <w:sz w:val="28"/>
        </w:rPr>
        <w:t>     общий предполагаемый объем оборотов по приобретению и</w:t>
      </w:r>
    </w:p>
    <w:p>
      <w:pPr>
        <w:spacing w:after="0"/>
        <w:ind w:left="0"/>
        <w:jc w:val="both"/>
      </w:pPr>
      <w:r>
        <w:rPr>
          <w:rFonts w:ascii="Times New Roman"/>
          <w:b w:val="false"/>
          <w:i w:val="false"/>
          <w:color w:val="000000"/>
          <w:sz w:val="28"/>
        </w:rPr>
        <w:t>реализации для определения суммы налога на добавленную стоимость;</w:t>
      </w:r>
    </w:p>
    <w:p>
      <w:pPr>
        <w:spacing w:after="0"/>
        <w:ind w:left="0"/>
        <w:jc w:val="both"/>
      </w:pPr>
      <w:r>
        <w:rPr>
          <w:rFonts w:ascii="Times New Roman"/>
          <w:b w:val="false"/>
          <w:i w:val="false"/>
          <w:color w:val="000000"/>
          <w:sz w:val="28"/>
        </w:rPr>
        <w:t>     площадь сельскохозяйственного участка, а для</w:t>
      </w:r>
    </w:p>
    <w:p>
      <w:pPr>
        <w:spacing w:after="0"/>
        <w:ind w:left="0"/>
        <w:jc w:val="both"/>
      </w:pPr>
      <w:r>
        <w:rPr>
          <w:rFonts w:ascii="Times New Roman"/>
          <w:b w:val="false"/>
          <w:i w:val="false"/>
          <w:color w:val="000000"/>
          <w:sz w:val="28"/>
        </w:rPr>
        <w:t>сельскохозяйственного инвестиционного проекта и плодородие земли,</w:t>
      </w:r>
    </w:p>
    <w:p>
      <w:pPr>
        <w:spacing w:after="0"/>
        <w:ind w:left="0"/>
        <w:jc w:val="both"/>
      </w:pPr>
      <w:r>
        <w:rPr>
          <w:rFonts w:ascii="Times New Roman"/>
          <w:b w:val="false"/>
          <w:i w:val="false"/>
          <w:color w:val="000000"/>
          <w:sz w:val="28"/>
        </w:rPr>
        <w:t>выраженное в баллах бонитета;</w:t>
      </w:r>
    </w:p>
    <w:p>
      <w:pPr>
        <w:spacing w:after="0"/>
        <w:ind w:left="0"/>
        <w:jc w:val="both"/>
      </w:pPr>
      <w:r>
        <w:rPr>
          <w:rFonts w:ascii="Times New Roman"/>
          <w:b w:val="false"/>
          <w:i w:val="false"/>
          <w:color w:val="000000"/>
          <w:sz w:val="28"/>
        </w:rPr>
        <w:t>     стоимость всех основных средств;</w:t>
      </w:r>
    </w:p>
    <w:p>
      <w:pPr>
        <w:spacing w:after="0"/>
        <w:ind w:left="0"/>
        <w:jc w:val="both"/>
      </w:pPr>
      <w:r>
        <w:rPr>
          <w:rFonts w:ascii="Times New Roman"/>
          <w:b w:val="false"/>
          <w:i w:val="false"/>
          <w:color w:val="000000"/>
          <w:sz w:val="28"/>
        </w:rPr>
        <w:t>     общий фонд заработной платы и средняя заработная плата на</w:t>
      </w:r>
    </w:p>
    <w:p>
      <w:pPr>
        <w:spacing w:after="0"/>
        <w:ind w:left="0"/>
        <w:jc w:val="both"/>
      </w:pPr>
      <w:r>
        <w:rPr>
          <w:rFonts w:ascii="Times New Roman"/>
          <w:b w:val="false"/>
          <w:i w:val="false"/>
          <w:color w:val="000000"/>
          <w:sz w:val="28"/>
        </w:rPr>
        <w:t>одного работника;</w:t>
      </w:r>
    </w:p>
    <w:p>
      <w:pPr>
        <w:spacing w:after="0"/>
        <w:ind w:left="0"/>
        <w:jc w:val="both"/>
      </w:pPr>
      <w:r>
        <w:rPr>
          <w:rFonts w:ascii="Times New Roman"/>
          <w:b w:val="false"/>
          <w:i w:val="false"/>
          <w:color w:val="000000"/>
          <w:sz w:val="28"/>
        </w:rPr>
        <w:t>     другие показатели.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Порядок отмены льгот и преференций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Решение об отмене предоставленных инвестору льгот и преференций по контракту принимается только в случае расторжения контракта с инвестором в соответствии с условиями, определенными "Положением о контракте на осуществление инвестиционной деятельности в приоритетных секторах экономики Республики Казахстан", утвержденного постановлением Государственного комитета Республики Казахстан по инвестициям N 8 от 9 апреля 1997 года. </w:t>
      </w:r>
      <w:r>
        <w:br/>
      </w:r>
      <w:r>
        <w:rPr>
          <w:rFonts w:ascii="Times New Roman"/>
          <w:b w:val="false"/>
          <w:i w:val="false"/>
          <w:color w:val="000000"/>
          <w:sz w:val="28"/>
        </w:rPr>
        <w:t xml:space="preserve">
      При этом, инвестор уплачивает в полном объеме все налоги и пошлины, по которым в соответствии с контрактом была предоставлена льгота, за весь период деятельности с учетом соответствующих штрафных санкций, предусмотренных законодательством Республики Казахстан и условиями контракта, а также возвращает имущество или имущественные права, переданные инвестору в виде натурного гранта, или осуществляет такой возврат в денежной форме с учетом стоимости натурного гранта и соответствующих штрафных санкций, предусмотренных условиями контракта или законодательством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