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5fd5" w14:textId="d055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регистрации маломерных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транспорта и коммуникаций Республики Казахстан от 10 августа 1998 года N 172. Зарегистрирована в Министерстве юстиции Республики Казахстан 1.09.1998г. N 592. Утратила силу - приказом Министерства транспорта и коммуникаций Республики Казахстан от 14.03.2003г. N 99-I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Извлечение из приказа Министерства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транспорта и коммуникаций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14.03.2003г. N 99-I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"...                           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 к приказу Министерства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 транспорта и коммуникаций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Республики Казахстан от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 14.03.2003г. N 99-I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Перечень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правовых актов Министерства транспорта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и коммуникаций Республики Казахстан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1. Инструкция о порядке регистрации маломерных судов, утвержденная приказом Министра транспорта и коммуникаций Республики Казахстан от 10 августа 1998 года N 172...".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проведения регистрации и заполнения регистрационных документов Транспортной инспекции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Работники Государственной инспекции осуществляя регистрацию, должны руководствоваться Правилами регистрации, учета и технического надзора за судами, поднадзорными Транспортной инспекции РК, базами (сооружениями) для их стоянок и аттестации судоводителей на право управления этими судами (в дальнейшем - Правила регистрации) и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регистрации судну присваивается бортовой номер и судовладельцу выдается судовой билет.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Бортовой номер состоит из трех букв русского алфавита и четырех цифр.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соответствуют порядковому номеру в регистрационной судовой книге.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инспекции областей устанавливают бортовые номера на маломерных судах: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Акмолинская область                             КАМ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Актюбинская область                             КАК с 0001 до 9999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Алматинская область                             КАЛ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Атырауская область                              КАТ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Восточно-Казахстанская область                  КВК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Джамбульская область                            КДЖ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Карагандинская область                          ККР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Кзыл-Ординская область                          ККЗ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Костанайская область                            ККУ с 0001 до 9999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Мангистауская область                          КМН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Павлодарская область                           КПВ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Северо-Казахстанская область                   КСК с 0001 до 9999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Западно-Казахстанская область                  КУР с 0001 до 9999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Южно-Казахстанская область                     КЧМ с 0001 до 9999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Прокатным гребным и парусным лодкам, пользование которыми производится в ограниченной акватории, присваивается литер из одной буквы и порядковый номер, соответствующий номеру учета на каждом прокатном пункте в отдельности. При этом плавсредствам проката присваивается буква "П", независимо от ведомства.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общества охотников и рыболовов присваивается буква "Р". Регистрация производится в отдельном журнале.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Маломерные судна, находящиеся в собственности двух или более владельцев, регистрируются только на одного владельца по их согласию, талон предупреждений судоводителя гребного судна оформляется на каждого совладельца в отдельности.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Регистрация судов индивидуальной постройки производится на основании проектно-технической документации, после первичного освидетельствования.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восстановлении потерянного или испорченного судового билета следует руководствоваться Правилами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Регистрационная карточка-заявление судовладельца, судовой билет и судовая книга ведутся по установленным формам. При этом: тип, категория судна, условия плавания, грузоподъемность, пассажировместимость, допустимая мощность двигателя указываются в соответствии с требованиями инструкции по техническому надзору.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данные во всех случаях не должны превышать данных, записанных в паспорте судна, выданном заводом-изготовителем.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Грузоподъемность, пассажировместимость, предельная мощность двигателя и т.д. для судов индивидуальной постройки рассчитываются по методике, изложенной в инструкции по оценке технического состояния маломерных судов, их баз-стоянок, переправ, поднадзорных Транспортной инспекции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судна указывается так, как записано в паспорте судна, выданном заводом-изготовителем, при этом маломерные моторные суда подразделяются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прогулочные - для прогулок, туризма, охоты, рыбной ловли;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служебно-разъездные - для перевозки служебных лиц или грузов (например, тренерские);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- специально оборудованные для технических целей.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Несамоходные суда по назначению подразделяются на транспортные (баржи) и стояночные (деборкадеры).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состав экипажа определяется в зависимости от возможностей управления судном (наличие дистанционного управления двигателем и рулем, обслуживание парусного вооружения).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Допустимая площадь парусов указывается по паспорту судна, либо рассчитывается по методике, указанной в инструкции по оценке технического состояния маломерных судов, их баз-стоянок, переправ, поднадзорных Транспортной инспекции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Остальные графы судового билета и судовой книги заполняются по фактическому наличию, соответствующему нормам снабжения, стационарного и переносного оборудования.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пределов поднадзорности судов, регламентированных правилами регистрации, следует иметь в виду, что судно пассажиро- вместимостью, равной одному человеку, независимо из какого материала оно изготовлено (если нет ограничений по принадлежности или назначению), поднадзорно Транспортной инспекции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