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8614" w14:textId="e028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об организации службы занятости</w:t>
      </w:r>
    </w:p>
    <w:p>
      <w:pPr>
        <w:spacing w:after="0"/>
        <w:ind w:left="0"/>
        <w:jc w:val="both"/>
      </w:pPr>
      <w:r>
        <w:rPr>
          <w:rFonts w:ascii="Times New Roman"/>
          <w:b w:val="false"/>
          <w:i w:val="false"/>
          <w:color w:val="000000"/>
          <w:sz w:val="28"/>
        </w:rPr>
        <w:t>Закон Республики Казахстан от 14 декабря 2000 года N 119-II</w:t>
      </w:r>
    </w:p>
    <w:p>
      <w:pPr>
        <w:spacing w:after="0"/>
        <w:ind w:left="0"/>
        <w:jc w:val="left"/>
      </w:pPr>
      <w:r>
        <w:rPr>
          <w:rFonts w:ascii="Times New Roman"/>
          <w:b w:val="false"/>
          <w:i w:val="false"/>
          <w:color w:val="000000"/>
          <w:sz w:val="28"/>
        </w:rPr>
        <w:t>
</w:t>
      </w:r>
      <w:r>
        <w:rPr>
          <w:rFonts w:ascii="Times New Roman"/>
          <w:b w:val="false"/>
          <w:i w:val="false"/>
          <w:color w:val="000000"/>
          <w:sz w:val="28"/>
        </w:rPr>
        <w:t>
          Ратифицировать Конвенцию об организации службы занятости (Конвенция 
88), принятую в Сан-Франциско 31-й сессией Генеральной конференции 
Международной организации труда 9 июля 1948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Конвенция 88 
</w:t>
      </w:r>
      <w:r>
        <w:br/>
      </w:r>
      <w:r>
        <w:rPr>
          <w:rFonts w:ascii="Times New Roman"/>
          <w:b w:val="false"/>
          <w:i w:val="false"/>
          <w:color w:val="000000"/>
          <w:sz w:val="28"/>
        </w:rPr>
        <w:t>
                              Конвенция об организации службы занятости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Генеральная Конференция Международной Организации Труда, созванная в 
Сан-Франциско Административным Советом Международного Бюро Труда и 
собравшаяся 17 июня 1948 года на свою тридцать первую сессию, 
</w:t>
      </w:r>
      <w:r>
        <w:br/>
      </w:r>
      <w:r>
        <w:rPr>
          <w:rFonts w:ascii="Times New Roman"/>
          <w:b w:val="false"/>
          <w:i w:val="false"/>
          <w:color w:val="000000"/>
          <w:sz w:val="28"/>
        </w:rPr>
        <w:t>
          решив принять ряд предложений об организации службы занятости, что 
является четвертым пунктом повестки дня сессии, 
</w:t>
      </w:r>
      <w:r>
        <w:br/>
      </w:r>
      <w:r>
        <w:rPr>
          <w:rFonts w:ascii="Times New Roman"/>
          <w:b w:val="false"/>
          <w:i w:val="false"/>
          <w:color w:val="000000"/>
          <w:sz w:val="28"/>
        </w:rPr>
        <w:t>
          и решив придать этим предложениям форму международной конвенции, 
принимает сего девятого дня июля месяца тысяча девятьсот сорок восьмого 
года нижеследующую Конвенцию, которая будет именоваться Конвенцией 1948 
года об организации службы занятости: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Каждый Член Международной Организации труда, для которого 
настоящая Конвенция находится в силе, содержит или обеспечивает содержание 
бесплатной государственной службы занятости.
</w:t>
      </w:r>
      <w:r>
        <w:br/>
      </w:r>
      <w:r>
        <w:rPr>
          <w:rFonts w:ascii="Times New Roman"/>
          <w:b w:val="false"/>
          <w:i w:val="false"/>
          <w:color w:val="000000"/>
          <w:sz w:val="28"/>
        </w:rPr>
        <w:t>
          2. Основной обязанностью службы занятости является обеспечение - если 
нужно, в сотрудничестве с другими заинтересованными общественными и 
частными учреждениями - наилучшей возможной организации рынка занятости в 
качестве неотъемлемой части национальной программы достижения и 
поддержания полной занятости и развития и использования производительных 
сил.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Служба занятости состоит из национальной системы бюро по найму, 
работающей под руководством государственной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Эта система включает сеть местных, а где это представляется 
целесообразным, и региональных бюро, достаточных по числу для обслуживания 
каждого географического района страны и удобно расположенных для 
предпринимателей и трудящихся.
</w:t>
      </w:r>
      <w:r>
        <w:br/>
      </w:r>
      <w:r>
        <w:rPr>
          <w:rFonts w:ascii="Times New Roman"/>
          <w:b w:val="false"/>
          <w:i w:val="false"/>
          <w:color w:val="000000"/>
          <w:sz w:val="28"/>
        </w:rPr>
        <w:t>
          2. Организация этой сети: 
</w:t>
      </w:r>
      <w:r>
        <w:br/>
      </w:r>
      <w:r>
        <w:rPr>
          <w:rFonts w:ascii="Times New Roman"/>
          <w:b w:val="false"/>
          <w:i w:val="false"/>
          <w:color w:val="000000"/>
          <w:sz w:val="28"/>
        </w:rPr>
        <w:t>
          а) подвергается обследованию:
</w:t>
      </w:r>
      <w:r>
        <w:br/>
      </w:r>
      <w:r>
        <w:rPr>
          <w:rFonts w:ascii="Times New Roman"/>
          <w:b w:val="false"/>
          <w:i w:val="false"/>
          <w:color w:val="000000"/>
          <w:sz w:val="28"/>
        </w:rPr>
        <w:t>
          i) в случае значительных изменений в распределении экономической 
деятельности и самостоятельного населения, и 
</w:t>
      </w:r>
      <w:r>
        <w:br/>
      </w:r>
      <w:r>
        <w:rPr>
          <w:rFonts w:ascii="Times New Roman"/>
          <w:b w:val="false"/>
          <w:i w:val="false"/>
          <w:color w:val="000000"/>
          <w:sz w:val="28"/>
        </w:rPr>
        <w:t>
          ii) в случае если компетентный орган власти считает такое 
обследование желательным для оценки приобретенного за пробный период 
опыта, и 
</w:t>
      </w:r>
      <w:r>
        <w:br/>
      </w:r>
      <w:r>
        <w:rPr>
          <w:rFonts w:ascii="Times New Roman"/>
          <w:b w:val="false"/>
          <w:i w:val="false"/>
          <w:color w:val="000000"/>
          <w:sz w:val="28"/>
        </w:rPr>
        <w:t>
          б) пересматривается всякий раз, когда такое обследование указывает на 
необходимость пересмотра.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Принимаются надлежащие меры через посредство консультативных 
комитетов для привлечения представителей предпринимателей и трудящихся к 
сотрудничеству в деле организации и деятельности службы занятости, а также 
в разработке ее политики.
</w:t>
      </w:r>
      <w:r>
        <w:br/>
      </w:r>
      <w:r>
        <w:rPr>
          <w:rFonts w:ascii="Times New Roman"/>
          <w:b w:val="false"/>
          <w:i w:val="false"/>
          <w:color w:val="000000"/>
          <w:sz w:val="28"/>
        </w:rPr>
        <w:t>
          2. Этими мерами предусматривается создание одного или нескольких 
национальных консультативных комитетов, а там, где это необходимо, 
региональных и местных комитетов.
</w:t>
      </w:r>
      <w:r>
        <w:br/>
      </w:r>
      <w:r>
        <w:rPr>
          <w:rFonts w:ascii="Times New Roman"/>
          <w:b w:val="false"/>
          <w:i w:val="false"/>
          <w:color w:val="000000"/>
          <w:sz w:val="28"/>
        </w:rPr>
        <w:t>
          3. Равное число представителей предпринимателей и трудящихся 
назначается в эти комитеты по консультации с представительными 
организациями предпринимателей и трудящихся, где таковые организации 
существуют.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Общая политика службы занятости в деле направления трудящихся на 
вакантные места вырабатывается после консультации с представителями 
предпринимателей и трудящихся через посредство предусмотренных в статье 4 
консультативных комитетов.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Служба занятости организуется таким образом, чтобы обеспечить 
эффективный набор и устройство трудящихся на работу, и для этого:
</w:t>
      </w:r>
      <w:r>
        <w:br/>
      </w:r>
      <w:r>
        <w:rPr>
          <w:rFonts w:ascii="Times New Roman"/>
          <w:b w:val="false"/>
          <w:i w:val="false"/>
          <w:color w:val="000000"/>
          <w:sz w:val="28"/>
        </w:rPr>
        <w:t>
          а) оказывает содействие трудящимся в подыскании подходящей работы и 
помогает предпринимателям набирать необходимых им трудящихся; в частности, 
на основании разработанных в общегосударственном масштабе правил она;
</w:t>
      </w:r>
      <w:r>
        <w:br/>
      </w:r>
      <w:r>
        <w:rPr>
          <w:rFonts w:ascii="Times New Roman"/>
          <w:b w:val="false"/>
          <w:i w:val="false"/>
          <w:color w:val="000000"/>
          <w:sz w:val="28"/>
        </w:rPr>
        <w:t>
          i) регистрирует ищущих работу, ведет учет их профессиональной 
квалификации, опыта и пожеланий, опрашивает их с целью подыскания им 
работы, в случае надобности производит проверку их физического состояния и 
профессиональной подготовки, оказывает им в соответствующих случаях 
содействие в получении профессионального ориентирования, подготовки или 
переобучения;
</w:t>
      </w:r>
      <w:r>
        <w:br/>
      </w:r>
      <w:r>
        <w:rPr>
          <w:rFonts w:ascii="Times New Roman"/>
          <w:b w:val="false"/>
          <w:i w:val="false"/>
          <w:color w:val="000000"/>
          <w:sz w:val="28"/>
        </w:rPr>
        <w:t>
          ii) собирает от предпринимателей точные сведения о сообщаемых ими 
службе занятости вакантных должностях и о требованиях, которым должны 
удовлетворять нужные им работники;
</w:t>
      </w:r>
      <w:r>
        <w:br/>
      </w:r>
      <w:r>
        <w:rPr>
          <w:rFonts w:ascii="Times New Roman"/>
          <w:b w:val="false"/>
          <w:i w:val="false"/>
          <w:color w:val="000000"/>
          <w:sz w:val="28"/>
        </w:rPr>
        <w:t>
          iii) направляет на вакантные должности кандидатов с подходящей 
квалификацией и годных к труду по своему физическому состоянию;
</w:t>
      </w:r>
      <w:r>
        <w:br/>
      </w:r>
      <w:r>
        <w:rPr>
          <w:rFonts w:ascii="Times New Roman"/>
          <w:b w:val="false"/>
          <w:i w:val="false"/>
          <w:color w:val="000000"/>
          <w:sz w:val="28"/>
        </w:rPr>
        <w:t>
          iv) организует обмен списками ищущих работу и вакантных должностей 
между отдельными бюро по найму в случаях, когда ищущие работу не могут 
быть помещены на подходящие места или когда свободные должности не могут 
быть заполнены подходящими кандидатами с помощью бюро, к которому они 
первоначально обратились, или в других случаях, оправдывающих такую меру; 
</w:t>
      </w:r>
      <w:r>
        <w:br/>
      </w:r>
      <w:r>
        <w:rPr>
          <w:rFonts w:ascii="Times New Roman"/>
          <w:b w:val="false"/>
          <w:i w:val="false"/>
          <w:color w:val="000000"/>
          <w:sz w:val="28"/>
        </w:rPr>
        <w:t>
          б) принимает надлежащие меры, чтобы:
</w:t>
      </w:r>
      <w:r>
        <w:br/>
      </w:r>
      <w:r>
        <w:rPr>
          <w:rFonts w:ascii="Times New Roman"/>
          <w:b w:val="false"/>
          <w:i w:val="false"/>
          <w:color w:val="000000"/>
          <w:sz w:val="28"/>
        </w:rPr>
        <w:t>
          i) облегчать перемену профессий для согласования предложения рабочей 
силы со спросом на нее в различных видах занятий;
</w:t>
      </w:r>
      <w:r>
        <w:br/>
      </w:r>
      <w:r>
        <w:rPr>
          <w:rFonts w:ascii="Times New Roman"/>
          <w:b w:val="false"/>
          <w:i w:val="false"/>
          <w:color w:val="000000"/>
          <w:sz w:val="28"/>
        </w:rPr>
        <w:t>
          ii) облегчать территориальную подвижность с целью содействия 
перемещению трудящихся в районы, где имеются возможности нахождения 
подходящей работы;
</w:t>
      </w:r>
      <w:r>
        <w:br/>
      </w:r>
      <w:r>
        <w:rPr>
          <w:rFonts w:ascii="Times New Roman"/>
          <w:b w:val="false"/>
          <w:i w:val="false"/>
          <w:color w:val="000000"/>
          <w:sz w:val="28"/>
        </w:rPr>
        <w:t>
          iii) облегчать временный перевод рабочих из одного района в другой с 
целью устранения временного местного несоответствия между предложением и 
спросом на рабочую силу;
</w:t>
      </w:r>
      <w:r>
        <w:br/>
      </w:r>
      <w:r>
        <w:rPr>
          <w:rFonts w:ascii="Times New Roman"/>
          <w:b w:val="false"/>
          <w:i w:val="false"/>
          <w:color w:val="000000"/>
          <w:sz w:val="28"/>
        </w:rPr>
        <w:t>
          iv) облегчать перемещение трудящихся из одной страны в другую там, 
где это разрешено заинтересованными правительствами;
</w:t>
      </w:r>
      <w:r>
        <w:br/>
      </w:r>
      <w:r>
        <w:rPr>
          <w:rFonts w:ascii="Times New Roman"/>
          <w:b w:val="false"/>
          <w:i w:val="false"/>
          <w:color w:val="000000"/>
          <w:sz w:val="28"/>
        </w:rPr>
        <w:t>
          c) в сотрудничестве с другими органами власти и там, где это уместно, 
с предпринимателями и профсоюзами собирает и изучает всю имеющуюся 
информацию о положении на рынке занятости и о его вероятной эволюции как 
по всей стране в целом, так и по отдельным отраслям промышленности, 
профессиям и районам и систематически и без задержки предоставляет эти 
сведения органам власти, заинтересованным организациям предпринимателей и 
трудящихся и общественности;
</w:t>
      </w:r>
      <w:r>
        <w:br/>
      </w:r>
      <w:r>
        <w:rPr>
          <w:rFonts w:ascii="Times New Roman"/>
          <w:b w:val="false"/>
          <w:i w:val="false"/>
          <w:color w:val="000000"/>
          <w:sz w:val="28"/>
        </w:rPr>
        <w:t>
          d) сотрудничает в управлении делами страхования от безработицы, в 
оказании помощи и в других мероприятиях по облегчению положения 
безработных;
</w:t>
      </w:r>
      <w:r>
        <w:br/>
      </w:r>
      <w:r>
        <w:rPr>
          <w:rFonts w:ascii="Times New Roman"/>
          <w:b w:val="false"/>
          <w:i w:val="false"/>
          <w:color w:val="000000"/>
          <w:sz w:val="28"/>
        </w:rPr>
        <w:t>
          e) содействует, по мере необходимости, другим государственным и 
частным учреждениям в разработке социально-экономических планов, 
направленных на обеспечение благоприятного положения в вопросах занятости.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Принимаются меры:
</w:t>
      </w:r>
      <w:r>
        <w:br/>
      </w:r>
      <w:r>
        <w:rPr>
          <w:rFonts w:ascii="Times New Roman"/>
          <w:b w:val="false"/>
          <w:i w:val="false"/>
          <w:color w:val="000000"/>
          <w:sz w:val="28"/>
        </w:rPr>
        <w:t>
          а) для облегчения специализации различных бюро по найму по профессиям 
и по отраслям промышленности, как, например, по сельскому хозяйству и 
другим отраслям деятельности, в которых такая специализация может быть 
полезна;
</w:t>
      </w:r>
      <w:r>
        <w:br/>
      </w:r>
      <w:r>
        <w:rPr>
          <w:rFonts w:ascii="Times New Roman"/>
          <w:b w:val="false"/>
          <w:i w:val="false"/>
          <w:color w:val="000000"/>
          <w:sz w:val="28"/>
        </w:rPr>
        <w:t>
          б) для надлежащего удовлетворения нужд особых категорий лиц, ищущих 
работу, например инвалидов.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рамках службы занятости и профессионального ориентирования 
предпринимаются и разрабатываются специальные мероприятия для подростков.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Персонал службы занятости состоит из государственных служащих, 
которые по своему правовому положению и условиям службы независимы от 
смены правительства и свободны от недолжного влияния извне и которым, 
поскольку это совместимо с требованиями службы, обеспечивается постоянство 
службы.
</w:t>
      </w:r>
      <w:r>
        <w:br/>
      </w:r>
      <w:r>
        <w:rPr>
          <w:rFonts w:ascii="Times New Roman"/>
          <w:b w:val="false"/>
          <w:i w:val="false"/>
          <w:color w:val="000000"/>
          <w:sz w:val="28"/>
        </w:rPr>
        <w:t>
          2. При условии соблюдения правил, установленных национальным 
законодательством для набора государственных служащих, персонал службы 
занятости набирается только по признаку его квалификации для выполнения 
своих обязанностей.
</w:t>
      </w:r>
      <w:r>
        <w:br/>
      </w:r>
      <w:r>
        <w:rPr>
          <w:rFonts w:ascii="Times New Roman"/>
          <w:b w:val="false"/>
          <w:i w:val="false"/>
          <w:color w:val="000000"/>
          <w:sz w:val="28"/>
        </w:rPr>
        <w:t>
          3. Компетентный орган власти устанавливает способы проверки этой 
квалификации. 
</w:t>
      </w:r>
      <w:r>
        <w:br/>
      </w:r>
      <w:r>
        <w:rPr>
          <w:rFonts w:ascii="Times New Roman"/>
          <w:b w:val="false"/>
          <w:i w:val="false"/>
          <w:color w:val="000000"/>
          <w:sz w:val="28"/>
        </w:rPr>
        <w:t>
          4. Персонал службы занятости получает необходимую для выполнения 
своих обязанностей подготовку.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Служба занятости, а там, где это уместно, и другие органы власти в 
сотрудничестве с организациями предпринимателей и трудящихся и другими 
заинтересованными органами принимают все возможные меры для поощрения 
полного использования предпринимателями и трудящимися на добровольных 
началах предлагаемых службой занятости возможностей.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органы власти принимают все необходимые меры для 
обеспечения эффективного сотрудничества между государственной службой 
занятости и частными бюро по найму, не преследующими целей коммерческой 
выгоды.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на территории Члена Организации имеются большие районы, где 
вследствие распыленности населения или уровня развития района компетентный 
орган власти считает практически неосуществимым применение настоящей 
Конвенции, этот орган власти может изъять такие районы из-под действия 
Конвенции либо вообще, либо с такими исключениями в отношении некоторых 
предприятий или профессий, которые он считает целесообразным сделать.
</w:t>
      </w:r>
      <w:r>
        <w:br/>
      </w:r>
      <w:r>
        <w:rPr>
          <w:rFonts w:ascii="Times New Roman"/>
          <w:b w:val="false"/>
          <w:i w:val="false"/>
          <w:color w:val="000000"/>
          <w:sz w:val="28"/>
        </w:rPr>
        <w:t>
          2. Каждый Член Организации в своем первом ежегодном докладе о 
применении настоящей Конвенции, представляемом в соответствии со статьей 
22 Устава Международной Организации Труда, указывает все районы, в 
отношении которых он предполагает прибегнуть к положениям настоящей 
статьи, а также причины, по которым он намеревается воспользоваться этими 
положениями. Ни один Член Организации не может после представления своего 
первого ежегодного доклада использовать положения настоящей статьи, кроме 
как в отношении районов, указанных им в этом докладе.
</w:t>
      </w:r>
      <w:r>
        <w:br/>
      </w:r>
      <w:r>
        <w:rPr>
          <w:rFonts w:ascii="Times New Roman"/>
          <w:b w:val="false"/>
          <w:i w:val="false"/>
          <w:color w:val="000000"/>
          <w:sz w:val="28"/>
        </w:rPr>
        <w:t>
          3. Каждый Член Организации, прибегающий к положениям настоящей 
статьи, указывает в последующих ежегодных докладах любые районы, в 
отношении которых он отказывается от права применять положения настоящей 
статьи.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отношении территорий, упомянутых в статье 35 Устава 
Международной Организации Труда, измененного в соответствии с Актом о 
поправке 1946 года к Уставу Международной Организации Труда, и за 
исключением территорий, упомянутых в пунктах 4 и 5 указанной статьи, 
каждый Член Организации, ратифицирующий настоящую Конвенцию, в возможно 
короткий срок после ее ратификации направляет Генеральному Директору 
Международного Бюро Труда заявление с указанием:
</w:t>
      </w:r>
      <w:r>
        <w:br/>
      </w:r>
      <w:r>
        <w:rPr>
          <w:rFonts w:ascii="Times New Roman"/>
          <w:b w:val="false"/>
          <w:i w:val="false"/>
          <w:color w:val="000000"/>
          <w:sz w:val="28"/>
        </w:rPr>
        <w:t>
          а) территорий, в отношении которых заинтересованный Член Организации 
обязуется применять положение Конвенции без изменений;
</w:t>
      </w:r>
      <w:r>
        <w:br/>
      </w:r>
      <w:r>
        <w:rPr>
          <w:rFonts w:ascii="Times New Roman"/>
          <w:b w:val="false"/>
          <w:i w:val="false"/>
          <w:color w:val="000000"/>
          <w:sz w:val="28"/>
        </w:rPr>
        <w:t>
          б) территорий, в отношении которых он обязуется применять положения 
Конвенции с изменениями, и деталей этих изменений;
</w:t>
      </w:r>
      <w:r>
        <w:br/>
      </w:r>
      <w:r>
        <w:rPr>
          <w:rFonts w:ascii="Times New Roman"/>
          <w:b w:val="false"/>
          <w:i w:val="false"/>
          <w:color w:val="000000"/>
          <w:sz w:val="28"/>
        </w:rPr>
        <w:t>
          c) территорий, на которых Конвенция не будет применяться, и в этом 
случае причин, по которым она не будет применяться;
</w:t>
      </w:r>
      <w:r>
        <w:br/>
      </w:r>
      <w:r>
        <w:rPr>
          <w:rFonts w:ascii="Times New Roman"/>
          <w:b w:val="false"/>
          <w:i w:val="false"/>
          <w:color w:val="000000"/>
          <w:sz w:val="28"/>
        </w:rPr>
        <w:t>
          d) территорий, в отношении которых он резервирует свое решение.
</w:t>
      </w:r>
      <w:r>
        <w:br/>
      </w:r>
      <w:r>
        <w:rPr>
          <w:rFonts w:ascii="Times New Roman"/>
          <w:b w:val="false"/>
          <w:i w:val="false"/>
          <w:color w:val="000000"/>
          <w:sz w:val="28"/>
        </w:rPr>
        <w:t>
          2. Обязательства, упомянутые в подпунктах а) и б) пункта 1 настоящей 
статьи, считаются неотъемлемой частью документа о ратификации и влекут за 
собой одинаковые с ним последствия.
</w:t>
      </w:r>
      <w:r>
        <w:br/>
      </w:r>
      <w:r>
        <w:rPr>
          <w:rFonts w:ascii="Times New Roman"/>
          <w:b w:val="false"/>
          <w:i w:val="false"/>
          <w:color w:val="000000"/>
          <w:sz w:val="28"/>
        </w:rPr>
        <w:t>
          3. Любой Член Организации может посредством нового заявления 
отказаться от всех или части оговорок, содержащихся в его предыдущем 
заявлении в силу подпунктов б), с) и d) пункта 1 настоящей статьи.
</w:t>
      </w:r>
      <w:r>
        <w:br/>
      </w:r>
      <w:r>
        <w:rPr>
          <w:rFonts w:ascii="Times New Roman"/>
          <w:b w:val="false"/>
          <w:i w:val="false"/>
          <w:color w:val="000000"/>
          <w:sz w:val="28"/>
        </w:rPr>
        <w:t>
          4. Любой Член Организации сможет в периоды, в течение которых 
настоящая Конвенция может быть денонсирована в соответствии с положениями 
статьи 17,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на определенных территориях.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Когда вопросы, затрагиваемые настоящей Конвенцией, входят 
полностью или в основном в компетенцию самих властей территории вне 
метрополии, Член Организации, ответственный за международные отношения 
этой территории может по соглашению с правительством этой территории 
направить Генеральному Директору Международного Бюро Труда заявление о 
принятии по настоящей Конвенции обязательств от имени такой территории.
</w:t>
      </w:r>
      <w:r>
        <w:br/>
      </w:r>
      <w:r>
        <w:rPr>
          <w:rFonts w:ascii="Times New Roman"/>
          <w:b w:val="false"/>
          <w:i w:val="false"/>
          <w:color w:val="000000"/>
          <w:sz w:val="28"/>
        </w:rPr>
        <w:t>
          2. Заявление о принятии обязательств по настоящей Конвенции может 
быть направлено Генеральному Директору Международного Бюро Труда:
</w:t>
      </w:r>
      <w:r>
        <w:br/>
      </w:r>
      <w:r>
        <w:rPr>
          <w:rFonts w:ascii="Times New Roman"/>
          <w:b w:val="false"/>
          <w:i w:val="false"/>
          <w:color w:val="000000"/>
          <w:sz w:val="28"/>
        </w:rPr>
        <w:t>
          а) двумя или более Членами Организации в отношении территории, 
которая находится под их совместным управлением;
</w:t>
      </w:r>
      <w:r>
        <w:br/>
      </w:r>
      <w:r>
        <w:rPr>
          <w:rFonts w:ascii="Times New Roman"/>
          <w:b w:val="false"/>
          <w:i w:val="false"/>
          <w:color w:val="000000"/>
          <w:sz w:val="28"/>
        </w:rPr>
        <w:t>
          б) любой международной властью, ответственной за управление 
какой-либо территорией на основе положений Устава Организации Объединенных 
Наций, или какого-либо другого действующего в отношении такой территории 
постановления.
</w:t>
      </w:r>
      <w:r>
        <w:br/>
      </w:r>
      <w:r>
        <w:rPr>
          <w:rFonts w:ascii="Times New Roman"/>
          <w:b w:val="false"/>
          <w:i w:val="false"/>
          <w:color w:val="000000"/>
          <w:sz w:val="28"/>
        </w:rPr>
        <w:t>
          3. В заявлениях, направляемых Генеральному Директору Международного 
Бюро Труда в соответствии с предыдущими пунктами настоящей статьи, 
указывается, будут ли положения Конвенции применяться на данной территории 
с изменениями или без изменений; если в заявлении указывается, что 
положения Конвенции применяются с изменениями, то в нем уточняется, в чем 
именно состоят эти изменения.
</w:t>
      </w:r>
      <w:r>
        <w:br/>
      </w:r>
      <w:r>
        <w:rPr>
          <w:rFonts w:ascii="Times New Roman"/>
          <w:b w:val="false"/>
          <w:i w:val="false"/>
          <w:color w:val="000000"/>
          <w:sz w:val="28"/>
        </w:rPr>
        <w:t>
          4. Заинтересованный Член или Члены Организации или международная 
власть могут в любое время посредством нового заявления отказаться 
полностью или частично от права воспользоваться изменениями, оговоренными 
в каком-либо предыдущем заявлении.
</w:t>
      </w:r>
      <w:r>
        <w:br/>
      </w:r>
      <w:r>
        <w:rPr>
          <w:rFonts w:ascii="Times New Roman"/>
          <w:b w:val="false"/>
          <w:i w:val="false"/>
          <w:color w:val="000000"/>
          <w:sz w:val="28"/>
        </w:rPr>
        <w:t>
          5. Заинтересованный Член или Члены Организации или международная 
власть в периоды, когда Конвенция может быть денонсирована в соответствии 
с положениями статьи 17, могут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в отношении применения 
настоящей Конвенции.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Официальные документы о ратификации настоящей Конвенции направляются 
Генеральному Директору Международного Бюро Труда для регистрации.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
</w:t>
      </w:r>
      <w:r>
        <w:br/>
      </w:r>
      <w:r>
        <w:rPr>
          <w:rFonts w:ascii="Times New Roman"/>
          <w:b w:val="false"/>
          <w:i w:val="false"/>
          <w:color w:val="000000"/>
          <w:sz w:val="28"/>
        </w:rPr>
        <w:t>
          2. Она вступает в силу через двенадцать месяцев после того, как 
Генеральный Директор зарегистрирует документы о ратификации двух Членов 
Организации.
</w:t>
      </w:r>
      <w:r>
        <w:br/>
      </w:r>
      <w:r>
        <w:rPr>
          <w:rFonts w:ascii="Times New Roman"/>
          <w:b w:val="false"/>
          <w:i w:val="false"/>
          <w:color w:val="000000"/>
          <w:sz w:val="28"/>
        </w:rPr>
        <w:t>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
</w:t>
      </w:r>
      <w:r>
        <w:br/>
      </w:r>
      <w:r>
        <w:rPr>
          <w:rFonts w:ascii="Times New Roman"/>
          <w:b w:val="false"/>
          <w:i w:val="false"/>
          <w:color w:val="000000"/>
          <w:sz w:val="28"/>
        </w:rPr>
        <w:t>
          2. Любой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предусматриваемым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
</w:t>
      </w:r>
      <w:r>
        <w:br/>
      </w:r>
      <w:r>
        <w:rPr>
          <w:rFonts w:ascii="Times New Roman"/>
          <w:b w:val="false"/>
          <w:i w:val="false"/>
          <w:color w:val="000000"/>
          <w:sz w:val="28"/>
        </w:rPr>
        <w:t>
                                                            Статья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Генеральный Директор Международного Бюро Труда извещает всех 
Членов Международной Организации Труда о регистрации всех документов о 
ратификации, заявлений и актов о денонсации, полученных им от Членов 
Организации.
</w:t>
      </w:r>
      <w:r>
        <w:br/>
      </w:r>
      <w:r>
        <w:rPr>
          <w:rFonts w:ascii="Times New Roman"/>
          <w:b w:val="false"/>
          <w:i w:val="false"/>
          <w:color w:val="000000"/>
          <w:sz w:val="28"/>
        </w:rPr>
        <w:t>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заявлений и актов о 
денонсации, зарегистрированных им в соответствии с положениями предыдущих 
статей.
</w:t>
      </w:r>
      <w:r>
        <w:br/>
      </w:r>
      <w:r>
        <w:rPr>
          <w:rFonts w:ascii="Times New Roman"/>
          <w:b w:val="false"/>
          <w:i w:val="false"/>
          <w:color w:val="000000"/>
          <w:sz w:val="28"/>
        </w:rPr>
        <w:t>
                                                            Статья 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случае, если Конференция примет новую конвенцию, полностью или 
частично пересматривающую настоящую Конвенцию, и если в новой конвенции не 
предусмотрено обратное, то:
</w:t>
      </w:r>
      <w:r>
        <w:br/>
      </w:r>
      <w:r>
        <w:rPr>
          <w:rFonts w:ascii="Times New Roman"/>
          <w:b w:val="false"/>
          <w:i w:val="false"/>
          <w:color w:val="000000"/>
          <w:sz w:val="28"/>
        </w:rPr>
        <w:t>
          а) ратификация каким-либо Членом Организации новой, пересматривающей 
конвенции влечет за собой автоматически, независимо от положений статьи 
17, немедленную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б) начиная с даты вступления в силу новой, пересматривающей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конвенции, настоящая Конвенция закрыта для ратификации ее Членами 
Организации.
     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пересматривающую конвенцию.
                              Статья 22
     Английский и французский тексты настоящей Конвенции имеют одинаковую 
силу.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