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97a8" w14:textId="2409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контроле при применении трансфертных цен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5 января 2001 года N 136-II. Утратил силу Законом Республики Казахстан от 5 июля 2008 года N 67-IV (вводится в действие с 01.01.2009).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Законом РК от 05.07.2008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меры государственного контроля при применении трансфертных цен для предотвращения потерь государственного дохода в международных деловых операциях.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Законодательство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государственному контролю при применении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Законодательство Республики Казахстан по государственному контролю при применении трансфертных цен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Применяемые в настоящем Законе понятия означают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1) идентичные товары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международная деловая операция - экспортные и (или) импортные сделки по купле-продаже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 При определении однородности товаров (работ, услуг) учитываются, в частности, их качество, наличие товарного знака, репутация на рынке, страна происхождения;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рыночная цена товара (работы, услуги) -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назначаемая между независимыми сторонами и (или) определяемая в порядке, установленном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5) трансфертная цена - цена, которая отличается от объективно формирующейся рыночной цены при совершении сделок, установленных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6) уполномоченные органы - государственные органы, осуществляющие контроль при применении трансфертных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Осуществление государственного контроля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Государственный контроль при применении трансфертных цен в международных деловых операциях (далее - государственный контроль) осуществляется с целью установления факта отклонения применяемых цен от рыночных по сделкам, указанным в пункте 2 настоящей статьи, и корректировки объектов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Государственный контроль осуществляется по следующим сделкам: 
</w:t>
      </w:r>
      <w:r>
        <w:br/>
      </w:r>
      <w:r>
        <w:rPr>
          <w:rFonts w:ascii="Times New Roman"/>
          <w:b w:val="false"/>
          <w:i w:val="false"/>
          <w:color w:val="000000"/>
          <w:sz w:val="28"/>
        </w:rPr>
        <w:t>
      1) между взаимозависимыми или взаимосвязанными сторонами; 
</w:t>
      </w:r>
      <w:r>
        <w:br/>
      </w:r>
      <w:r>
        <w:rPr>
          <w:rFonts w:ascii="Times New Roman"/>
          <w:b w:val="false"/>
          <w:i w:val="false"/>
          <w:color w:val="000000"/>
          <w:sz w:val="28"/>
        </w:rPr>
        <w:t>
      2) по товарообменным (бартерным) операциям; 
</w:t>
      </w:r>
      <w:r>
        <w:br/>
      </w:r>
      <w:r>
        <w:rPr>
          <w:rFonts w:ascii="Times New Roman"/>
          <w:b w:val="false"/>
          <w:i w:val="false"/>
          <w:color w:val="000000"/>
          <w:sz w:val="28"/>
        </w:rPr>
        <w:t>
      3) при исполнении обязательств по сделкам, осуществляемым путем зачета встречного однородного требования (включая зачет при уступке требования); 
</w:t>
      </w:r>
      <w:r>
        <w:br/>
      </w:r>
      <w:r>
        <w:rPr>
          <w:rFonts w:ascii="Times New Roman"/>
          <w:b w:val="false"/>
          <w:i w:val="false"/>
          <w:color w:val="000000"/>
          <w:sz w:val="28"/>
        </w:rPr>
        <w:t>
      4) при совершении сделок с лицами, зарегистрированными (проживающими) или имеющими банковские счета в иностранных государствах, законодательство которых не предусматривает раскрытие и предоставление информации при осуществлении финансовых операций, либо по месту регистрации (проживания) которых применяется льготный режим налогообложения, включая оффшорные зоны; 
</w:t>
      </w:r>
      <w:r>
        <w:br/>
      </w:r>
      <w:r>
        <w:rPr>
          <w:rFonts w:ascii="Times New Roman"/>
          <w:b w:val="false"/>
          <w:i w:val="false"/>
          <w:color w:val="000000"/>
          <w:sz w:val="28"/>
        </w:rPr>
        <w:t>
      5) при совершении сделок с юридическими лицами, имеющими льготы по налогам или для которых установлена ставка, отличная от ставки, установленной налоговым законодательством; 
</w:t>
      </w:r>
      <w:r>
        <w:br/>
      </w:r>
      <w:r>
        <w:rPr>
          <w:rFonts w:ascii="Times New Roman"/>
          <w:b w:val="false"/>
          <w:i w:val="false"/>
          <w:color w:val="000000"/>
          <w:sz w:val="28"/>
        </w:rPr>
        <w:t>
      6) при совершении сделок с юридическими лицами, имеющими убыток по данным налоговых деклараций за два последних налоговых периода, предшествующих году совершения сделки. 
</w:t>
      </w:r>
      <w:r>
        <w:br/>
      </w:r>
      <w:r>
        <w:rPr>
          <w:rFonts w:ascii="Times New Roman"/>
          <w:b w:val="false"/>
          <w:i w:val="false"/>
          <w:color w:val="000000"/>
          <w:sz w:val="28"/>
        </w:rPr>
        <w:t>
      По международным деловым операциям, не подпадающим под действие подпунктов 1)-6) настоящего пункта, государственный контроль осуществляется в случае установления факта отклонения цены сделки более чем на 10 процентов в ту или иную сторону от рыночной цены товара (работы, услуги). 
</w:t>
      </w:r>
      <w:r>
        <w:br/>
      </w:r>
      <w:r>
        <w:rPr>
          <w:rFonts w:ascii="Times New Roman"/>
          <w:b w:val="false"/>
          <w:i w:val="false"/>
          <w:color w:val="000000"/>
          <w:sz w:val="28"/>
        </w:rPr>
        <w:t>
      По сделкам, осуществляемым на территории Республики Казахстан и подпадающим под действие подпунктов 5) и 6) настоящего пункта, государственный контроль осуществляется в случае их взаимосвязи с международными деловыми операциями.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Государственные органы, осуществляющие контроль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Государственный контроль осуществляют органы 
</w:t>
      </w:r>
      <w:r>
        <w:rPr>
          <w:rFonts w:ascii="Times New Roman"/>
          <w:b w:val="false"/>
          <w:i w:val="false"/>
          <w:color w:val="000000"/>
          <w:sz w:val="28"/>
        </w:rPr>
        <w:t xml:space="preserve"> налоговой службы </w:t>
      </w:r>
      <w:r>
        <w:rPr>
          <w:rFonts w:ascii="Times New Roman"/>
          <w:b w:val="false"/>
          <w:i w:val="false"/>
          <w:color w:val="000000"/>
          <w:sz w:val="28"/>
        </w:rPr>
        <w:t>
 и 
</w:t>
      </w:r>
      <w:r>
        <w:rPr>
          <w:rFonts w:ascii="Times New Roman"/>
          <w:b w:val="false"/>
          <w:i w:val="false"/>
          <w:color w:val="000000"/>
          <w:sz w:val="28"/>
        </w:rPr>
        <w:t xml:space="preserve"> таможенные органы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Организация государственного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Государственный контроль осуществляется посредством проведения процедур, установленных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осуществления государственного контроля уполномоченные органы проводят мониторинг сделок, по которым могут быть применены трансфертные цены. 
</w:t>
      </w:r>
      <w:r>
        <w:rPr>
          <w:rFonts w:ascii="Times New Roman"/>
          <w:b w:val="false"/>
          <w:i w:val="false"/>
          <w:color w:val="000000"/>
          <w:sz w:val="28"/>
        </w:rPr>
        <w:t xml:space="preserve"> V032471 </w:t>
      </w:r>
      <w:r>
        <w:rPr>
          <w:rFonts w:ascii="Times New Roman"/>
          <w:b w:val="false"/>
          <w:i w:val="false"/>
          <w:color w:val="000000"/>
          <w:sz w:val="28"/>
        </w:rPr>
        <w:t>
</w:t>
      </w:r>
      <w:r>
        <w:br/>
      </w:r>
      <w:r>
        <w:rPr>
          <w:rFonts w:ascii="Times New Roman"/>
          <w:b w:val="false"/>
          <w:i w:val="false"/>
          <w:color w:val="000000"/>
          <w:sz w:val="28"/>
        </w:rPr>
        <w:t>
      Перечень товаров (работ, услуг), сделки по которым подлежат мониторингу, 
</w:t>
      </w:r>
      <w:r>
        <w:rPr>
          <w:rFonts w:ascii="Times New Roman"/>
          <w:b w:val="false"/>
          <w:i w:val="false"/>
          <w:color w:val="000000"/>
          <w:sz w:val="28"/>
        </w:rPr>
        <w:t xml:space="preserve"> определяется </w:t>
      </w:r>
      <w:r>
        <w:rPr>
          <w:rFonts w:ascii="Times New Roman"/>
          <w:b w:val="false"/>
          <w:i w:val="false"/>
          <w:color w:val="000000"/>
          <w:sz w:val="28"/>
        </w:rPr>
        <w:t>
 уполномоченными органами, осуществляющими контроль при применении трансфертных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2. Уполномоченные органы, осуществляющие государственный контроль, вправе запросить у участников сделки и третьих лиц, косвенно участвующих в этой сделке, государственных органов и международных организаций необходимую информацию для определения рыночной цены товара (работы,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3. По результатам мониторинга уполномоченными органами проводится проверка по вопросу отклонения цены сделки от рыночной цены товара (работы, услуги). 
</w:t>
      </w:r>
      <w:r>
        <w:br/>
      </w:r>
      <w:r>
        <w:rPr>
          <w:rFonts w:ascii="Times New Roman"/>
          <w:b w:val="false"/>
          <w:i w:val="false"/>
          <w:color w:val="000000"/>
          <w:sz w:val="28"/>
        </w:rPr>
        <w:t>
      Контроль за применяемыми ценами при совершении сделок осуществляется также при проведении проверок, осуществляемых уполномоченными органами по вопросам соблюдения налогового и таможенного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Участники сделок имеют право заблаговременно предоставить уполномоченным органам экономическое обоснование применяемой цены и соответствующие документы, подтверждающие цену данной сделки, в целях определения рыночной цены и выбора метода определения цены в соответствии с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 установлении факта отклонения цены сделки от рыночной цены уполномоченные органы корректируют объекты налогообложения. 
</w:t>
      </w:r>
      <w:r>
        <w:br/>
      </w:r>
      <w:r>
        <w:rPr>
          <w:rFonts w:ascii="Times New Roman"/>
          <w:b w:val="false"/>
          <w:i w:val="false"/>
          <w:color w:val="000000"/>
          <w:sz w:val="28"/>
        </w:rPr>
        <w:t>
      На основании корректировки объектов налогообложения производятся начисления подоходного налога с юридических лиц, налога на добавленную стоимость, акциза (в случае сделок с подакцизными товарами), роялти и налога на сверхприбыль у недропользователей, таможенные платежи, рассчитанные таким образом, как если бы доходы или расходы от этих сделок и другие объекты налогообложения были бы определены исходя из рыночной цены, с применением штрафов и пени в 
</w:t>
      </w:r>
      <w:r>
        <w:rPr>
          <w:rFonts w:ascii="Times New Roman"/>
          <w:b w:val="false"/>
          <w:i w:val="false"/>
          <w:color w:val="000000"/>
          <w:sz w:val="28"/>
        </w:rPr>
        <w:t xml:space="preserve"> соответствии </w:t>
      </w:r>
      <w:r>
        <w:rPr>
          <w:rFonts w:ascii="Times New Roman"/>
          <w:b w:val="false"/>
          <w:i w:val="false"/>
          <w:color w:val="000000"/>
          <w:sz w:val="28"/>
        </w:rPr>
        <w:t>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Определение взаимозависимости или взаимосвязанности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Взаимозависимыми или взаимосвязанными сторонами признаются физические и (или) юридические лица, имеющие особые взаимоотношения, которые могут оказывать влияние на экономические результаты сделок (операций) между ними. 
</w:t>
      </w:r>
      <w:r>
        <w:br/>
      </w:r>
      <w:r>
        <w:rPr>
          <w:rFonts w:ascii="Times New Roman"/>
          <w:b w:val="false"/>
          <w:i w:val="false"/>
          <w:color w:val="000000"/>
          <w:sz w:val="28"/>
        </w:rPr>
        <w:t>
      Такие особые взаимоотношения включают следующие условия: 
</w:t>
      </w:r>
      <w:r>
        <w:br/>
      </w:r>
      <w:r>
        <w:rPr>
          <w:rFonts w:ascii="Times New Roman"/>
          <w:b w:val="false"/>
          <w:i w:val="false"/>
          <w:color w:val="000000"/>
          <w:sz w:val="28"/>
        </w:rPr>
        <w:t>
      1) одно лицо признается аффилированным лицом другого лица; 
</w:t>
      </w:r>
      <w:r>
        <w:br/>
      </w:r>
      <w:r>
        <w:rPr>
          <w:rFonts w:ascii="Times New Roman"/>
          <w:b w:val="false"/>
          <w:i w:val="false"/>
          <w:color w:val="000000"/>
          <w:sz w:val="28"/>
        </w:rPr>
        <w:t>
      2) одно лицо непосредственно и (или) косвенно участвует (в управлении, контроле, капитале) в другом лице и если доля такого участия составляет не менее 10 процентов; 
</w:t>
      </w:r>
      <w:r>
        <w:br/>
      </w:r>
      <w:r>
        <w:rPr>
          <w:rFonts w:ascii="Times New Roman"/>
          <w:b w:val="false"/>
          <w:i w:val="false"/>
          <w:color w:val="000000"/>
          <w:sz w:val="28"/>
        </w:rPr>
        <w:t>
      3) лица, в которых непосредственно и (или) косвенно участвует (в управлении, контроле, капитале) одно и то же лицо и доля непосредственного и (или) косвенного участия в капитале каждого такого лица составляет не менее 10 процентов; 
</w:t>
      </w:r>
      <w:r>
        <w:br/>
      </w:r>
      <w:r>
        <w:rPr>
          <w:rFonts w:ascii="Times New Roman"/>
          <w:b w:val="false"/>
          <w:i w:val="false"/>
          <w:color w:val="000000"/>
          <w:sz w:val="28"/>
        </w:rPr>
        <w:t>
      4) хозяйственное товарищество и его участник, если по договору хозяйственного товарищества размер вклада этого участника составляет более 20 процентов от общего размера всех вкладов или доля дохода такого товарищества, подлежащая распределению в пользу этого участника, составляет более 20 процентов от общего дохода товарищества; 
</w:t>
      </w:r>
      <w:r>
        <w:br/>
      </w:r>
      <w:r>
        <w:rPr>
          <w:rFonts w:ascii="Times New Roman"/>
          <w:b w:val="false"/>
          <w:i w:val="false"/>
          <w:color w:val="000000"/>
          <w:sz w:val="28"/>
        </w:rPr>
        <w:t>
      5) два хозяйственных товарищества, если одно и то же лицо одновременно является участником таких товариществ и доля его участия составляет более 20 процентов от общего размера всех вкладов участников в каждом таком товариществе; 
</w:t>
      </w:r>
      <w:r>
        <w:br/>
      </w:r>
      <w:r>
        <w:rPr>
          <w:rFonts w:ascii="Times New Roman"/>
          <w:b w:val="false"/>
          <w:i w:val="false"/>
          <w:color w:val="000000"/>
          <w:sz w:val="28"/>
        </w:rPr>
        <w:t>
      6) учредитель доверительного управления и доверительный управляющий по договору доверительного управления имуществом; 
</w:t>
      </w:r>
      <w:r>
        <w:br/>
      </w:r>
      <w:r>
        <w:rPr>
          <w:rFonts w:ascii="Times New Roman"/>
          <w:b w:val="false"/>
          <w:i w:val="false"/>
          <w:color w:val="000000"/>
          <w:sz w:val="28"/>
        </w:rPr>
        <w:t>
      7) два доверительных управляющих, если одно и то же лицо является учредителем доверительного управления по обоим договорам доверительного управления имуществом; 
</w:t>
      </w:r>
      <w:r>
        <w:br/>
      </w:r>
      <w:r>
        <w:rPr>
          <w:rFonts w:ascii="Times New Roman"/>
          <w:b w:val="false"/>
          <w:i w:val="false"/>
          <w:color w:val="000000"/>
          <w:sz w:val="28"/>
        </w:rPr>
        <w:t>
      8) доверительный управляющий и выгодоприобретатель по договору доверительного управления имуществом; 
</w:t>
      </w:r>
      <w:r>
        <w:br/>
      </w:r>
      <w:r>
        <w:rPr>
          <w:rFonts w:ascii="Times New Roman"/>
          <w:b w:val="false"/>
          <w:i w:val="false"/>
          <w:color w:val="000000"/>
          <w:sz w:val="28"/>
        </w:rPr>
        <w:t>
      9) доверительный управляющий и организация, в которой непосредственно или косвенно участвует учредитель доверительного управления, если доля такого участия в капитале организации составляет более 10 процентов; 
</w:t>
      </w:r>
      <w:r>
        <w:br/>
      </w:r>
      <w:r>
        <w:rPr>
          <w:rFonts w:ascii="Times New Roman"/>
          <w:b w:val="false"/>
          <w:i w:val="false"/>
          <w:color w:val="000000"/>
          <w:sz w:val="28"/>
        </w:rPr>
        <w:t>
      10)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 если учредителем доверительного управления по обоим договорам доверительного управления имуществом является одно и то же лицо;
</w:t>
      </w:r>
      <w:r>
        <w:br/>
      </w:r>
      <w:r>
        <w:rPr>
          <w:rFonts w:ascii="Times New Roman"/>
          <w:b w:val="false"/>
          <w:i w:val="false"/>
          <w:color w:val="000000"/>
          <w:sz w:val="28"/>
        </w:rPr>
        <w:t>
     11) собственник имущества и лицо, которому передано одно или несколько прав собственника имущества в отношении этого имущества (владение, пользование, распоряжение);
</w:t>
      </w:r>
      <w:r>
        <w:br/>
      </w:r>
      <w:r>
        <w:rPr>
          <w:rFonts w:ascii="Times New Roman"/>
          <w:b w:val="false"/>
          <w:i w:val="false"/>
          <w:color w:val="000000"/>
          <w:sz w:val="28"/>
        </w:rPr>
        <w:t>
     12) одно лицо подчиняется другому лицу по должностному положению;
</w:t>
      </w:r>
      <w:r>
        <w:br/>
      </w:r>
      <w:r>
        <w:rPr>
          <w:rFonts w:ascii="Times New Roman"/>
          <w:b w:val="false"/>
          <w:i w:val="false"/>
          <w:color w:val="000000"/>
          <w:sz w:val="28"/>
        </w:rPr>
        <w:t>
     13) лица являются дочерними предприятиями или находятся под прямым или косвенным контролем третьего лица;
</w:t>
      </w:r>
      <w:r>
        <w:br/>
      </w:r>
      <w:r>
        <w:rPr>
          <w:rFonts w:ascii="Times New Roman"/>
          <w:b w:val="false"/>
          <w:i w:val="false"/>
          <w:color w:val="000000"/>
          <w:sz w:val="28"/>
        </w:rPr>
        <w:t>
     14) лица состоят в брачно-семейных отношениях либо являются близкими родственниками или свойственниками.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Порядок и методы определения рыночной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Органы налоговой службы для определения рыночной цены используют следующие методы:
</w:t>
      </w:r>
      <w:r>
        <w:br/>
      </w:r>
      <w:r>
        <w:rPr>
          <w:rFonts w:ascii="Times New Roman"/>
          <w:b w:val="false"/>
          <w:i w:val="false"/>
          <w:color w:val="000000"/>
          <w:sz w:val="28"/>
        </w:rPr>
        <w:t>
     1) метод сопоставимой неконтролируемой цены;
</w:t>
      </w:r>
      <w:r>
        <w:br/>
      </w:r>
      <w:r>
        <w:rPr>
          <w:rFonts w:ascii="Times New Roman"/>
          <w:b w:val="false"/>
          <w:i w:val="false"/>
          <w:color w:val="000000"/>
          <w:sz w:val="28"/>
        </w:rPr>
        <w:t>
     2) метод "затраты плюс";
</w:t>
      </w:r>
      <w:r>
        <w:br/>
      </w:r>
      <w:r>
        <w:rPr>
          <w:rFonts w:ascii="Times New Roman"/>
          <w:b w:val="false"/>
          <w:i w:val="false"/>
          <w:color w:val="000000"/>
          <w:sz w:val="28"/>
        </w:rPr>
        <w:t>
     3) метод цены последующей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Метод сопоставимой неконтролируемой цены применяется при наличии на соответствующем рынке товаров (работ, услуг) сделок по идентичным (при их отсутствии - однородным) товарам (работам, услугам) и устанавливает рыночную цену, исходя из цен на идентичные (при их отсутствии - однородные) товары (работы, услуги), проданные при сопоставимых условиях покупателю, не связанному с продавцом. 
</w:t>
      </w:r>
      <w:r>
        <w:br/>
      </w:r>
      <w:r>
        <w:rPr>
          <w:rFonts w:ascii="Times New Roman"/>
          <w:b w:val="false"/>
          <w:i w:val="false"/>
          <w:color w:val="000000"/>
          <w:sz w:val="28"/>
        </w:rPr>
        <w:t>
      При определении рыночной цены товара (работы, услуги) учитывается информация о ценах по заключенным и (или) совершенным на момент реализации этого товара (работы, услуги) сделкам с идентичными (при их отсутствии - однородными) товарами (работами, услугами) в сопоставимых условиях. 
</w:t>
      </w:r>
      <w:r>
        <w:br/>
      </w:r>
      <w:r>
        <w:rPr>
          <w:rFonts w:ascii="Times New Roman"/>
          <w:b w:val="false"/>
          <w:i w:val="false"/>
          <w:color w:val="000000"/>
          <w:sz w:val="28"/>
        </w:rPr>
        <w:t>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со статьей 8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3. Методы, указанные в подпунктах 2) и 3) пункта 1 настоящей статьи, применяются при отсутствии на соответствующем рынке товаров (работ, услуг) сделок по идентичным (при их отсутствии -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ввиду отсутствия либо недоступности источников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Метод "затраты плюс", при котором рыночная цена товаров (работ, услуг) определяется как сумма произведенных затрат (расходов) и наценки. При этом учитываются подтверждаемые прямые и косвенные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Наценка определяется так, чтобы обеспечить среднюю сложившуюся для данной сферы деятельности норму рентабельности.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(расходов), понесенных покупателем при перепродаже (без учета цены, по которой были приобретены указанным покупателем у продавца товары (работы, услуги), а также его наценки. Наценка определяется так, чтобы обеспечить среднюю сложившуюся для данной сферы деятельности норму рентабельности.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 По сделкам, совершенным с лицами, зарегистрированными (проживающими) или имеющими банковские счета в иностранных государствах, законодательство которых не предусматривает раскрытие и предоставление информации при осуществлении финансовых операций либо по месту регистрации (проживания) которых применяется льготный режим налогообложения, рыночной ценой признается цена, согласно официально признанным источникам информации и, исходя из этого, производится корректировка объектов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Условия, влияющие на величину отклонения цены, применяемой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совершении сделки, от рыночной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определении величины отклонения цены сделки от рыночной цены учитываются такие условия сделок, как: 
</w:t>
      </w:r>
      <w:r>
        <w:br/>
      </w:r>
      <w:r>
        <w:rPr>
          <w:rFonts w:ascii="Times New Roman"/>
          <w:b w:val="false"/>
          <w:i w:val="false"/>
          <w:color w:val="000000"/>
          <w:sz w:val="28"/>
        </w:rPr>
        <w:t>
      1) количество (объем) поставляемых товаров (например, объем товарной партии), выполняемых работ, предоставляемых услуг; 
</w:t>
      </w:r>
      <w:r>
        <w:br/>
      </w:r>
      <w:r>
        <w:rPr>
          <w:rFonts w:ascii="Times New Roman"/>
          <w:b w:val="false"/>
          <w:i w:val="false"/>
          <w:color w:val="000000"/>
          <w:sz w:val="28"/>
        </w:rPr>
        <w:t>
      2) качество поставляемых или приобретаемых товаров, наличие или отсутствие упаковки, удобной расфасовки; 
</w:t>
      </w:r>
      <w:r>
        <w:br/>
      </w:r>
      <w:r>
        <w:rPr>
          <w:rFonts w:ascii="Times New Roman"/>
          <w:b w:val="false"/>
          <w:i w:val="false"/>
          <w:color w:val="000000"/>
          <w:sz w:val="28"/>
        </w:rPr>
        <w:t>
      3) сроки исполнения обязательств; 
</w:t>
      </w:r>
      <w:r>
        <w:br/>
      </w:r>
      <w:r>
        <w:rPr>
          <w:rFonts w:ascii="Times New Roman"/>
          <w:b w:val="false"/>
          <w:i w:val="false"/>
          <w:color w:val="000000"/>
          <w:sz w:val="28"/>
        </w:rPr>
        <w:t>
      4)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5) применяемые при совершении сделок между невзаимозависимыми лицами обычные скидки с цены или надбавки к цене. В частности, учитываются скидки и надбавки, вызванные: 
</w:t>
      </w:r>
      <w:r>
        <w:br/>
      </w:r>
      <w:r>
        <w:rPr>
          <w:rFonts w:ascii="Times New Roman"/>
          <w:b w:val="false"/>
          <w:i w:val="false"/>
          <w:color w:val="000000"/>
          <w:sz w:val="28"/>
        </w:rPr>
        <w:t>
      сезонными колебаниями потребительского спроса на товары (работы, услуги); 
</w:t>
      </w:r>
      <w:r>
        <w:br/>
      </w:r>
      <w:r>
        <w:rPr>
          <w:rFonts w:ascii="Times New Roman"/>
          <w:b w:val="false"/>
          <w:i w:val="false"/>
          <w:color w:val="000000"/>
          <w:sz w:val="28"/>
        </w:rPr>
        <w:t>
      потерей товарами качества или иных потребительских свойств; 
</w:t>
      </w:r>
      <w:r>
        <w:br/>
      </w:r>
      <w:r>
        <w:rPr>
          <w:rFonts w:ascii="Times New Roman"/>
          <w:b w:val="false"/>
          <w:i w:val="false"/>
          <w:color w:val="000000"/>
          <w:sz w:val="28"/>
        </w:rPr>
        <w:t>
      частичным улучшением или восстановлением утерянных качества и (или) иных потребительских свойств товаров; 
</w:t>
      </w:r>
      <w:r>
        <w:br/>
      </w:r>
      <w:r>
        <w:rPr>
          <w:rFonts w:ascii="Times New Roman"/>
          <w:b w:val="false"/>
          <w:i w:val="false"/>
          <w:color w:val="000000"/>
          <w:sz w:val="28"/>
        </w:rPr>
        <w:t>
      истечением (приближением даты истечения) сроков годности или реализации товаров; 
</w:t>
      </w:r>
      <w:r>
        <w:br/>
      </w:r>
      <w:r>
        <w:rPr>
          <w:rFonts w:ascii="Times New Roman"/>
          <w:b w:val="false"/>
          <w:i w:val="false"/>
          <w:color w:val="000000"/>
          <w:sz w:val="28"/>
        </w:rPr>
        <w:t>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 
</w:t>
      </w:r>
      <w:r>
        <w:br/>
      </w:r>
      <w:r>
        <w:rPr>
          <w:rFonts w:ascii="Times New Roman"/>
          <w:b w:val="false"/>
          <w:i w:val="false"/>
          <w:color w:val="000000"/>
          <w:sz w:val="28"/>
        </w:rPr>
        <w:t>
      реализацией опытных моделей и образцов товаров в целях ознакомления с ними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Величина отклонения цены, применяемой при совершении сделки, от рыночной цены, возникающая в соответствии с условиями, указанными в пункте 1 настоящей статьи, не является основанием для осуществления корректировки объектов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Источники информации, используемые для определения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рыночной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определения рыночной цены товара (работы, услуги) используются любые источники информации, в том числе: 
</w:t>
      </w:r>
      <w:r>
        <w:br/>
      </w:r>
      <w:r>
        <w:rPr>
          <w:rFonts w:ascii="Times New Roman"/>
          <w:b w:val="false"/>
          <w:i w:val="false"/>
          <w:color w:val="000000"/>
          <w:sz w:val="28"/>
        </w:rPr>
        <w:t>
      1) официально признанные источники информации о рыночных ценах на товары (работы, услуги); 
</w:t>
      </w:r>
      <w:r>
        <w:br/>
      </w:r>
      <w:r>
        <w:rPr>
          <w:rFonts w:ascii="Times New Roman"/>
          <w:b w:val="false"/>
          <w:i w:val="false"/>
          <w:color w:val="000000"/>
          <w:sz w:val="28"/>
        </w:rPr>
        <w:t>
      2) официально признанные источники о биржевых котировках; 
</w:t>
      </w:r>
      <w:r>
        <w:br/>
      </w:r>
      <w:r>
        <w:rPr>
          <w:rFonts w:ascii="Times New Roman"/>
          <w:b w:val="false"/>
          <w:i w:val="false"/>
          <w:color w:val="000000"/>
          <w:sz w:val="28"/>
        </w:rPr>
        <w:t>
      3) информация, предоставляемая участниками сделок уполномоченным органам.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определения рыночной цены при внешнеторговых сделках применяются законодательство Республики Казахстан, международные договоры, а также методы определения рыночных цен, согласованные уполномоченными органами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 Перечень официальных источников информации по рыночным ценам 
</w:t>
      </w:r>
      <w:r>
        <w:rPr>
          <w:rFonts w:ascii="Times New Roman"/>
          <w:b w:val="false"/>
          <w:i w:val="false"/>
          <w:color w:val="000000"/>
          <w:sz w:val="28"/>
        </w:rPr>
        <w:t xml:space="preserve"> определяется </w:t>
      </w:r>
      <w:r>
        <w:rPr>
          <w:rFonts w:ascii="Times New Roman"/>
          <w:b w:val="false"/>
          <w:i w:val="false"/>
          <w:color w:val="000000"/>
          <w:sz w:val="28"/>
        </w:rPr>
        <w:t>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Взаимоотношения органов налоговой службы и таможенных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 результатам проверки, проведенной по факту отклонения от рыночной цены при совершении сделок, соответствующий таможенный орган информирует об имеющихся отклонениях органы налоговой службы и передает им материалы проверки для начисления налогов, пени и штрафов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Ответственность за нарушение законодательства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государственному контролю при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виновные в нарушении законодательства о государственном контроле при применении трансфертных цен, несут ответственность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Обжалование решений уполномоченных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Решения уполномоченных органов могут быть обжалованы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Введение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1 января 2001 года. 
</w:t>
      </w:r>
    </w:p>
    <w:p>
      <w:pPr>
        <w:spacing w:after="0"/>
        <w:ind w:left="0"/>
        <w:jc w:val="both"/>
      </w:pP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