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77938" w14:textId="5d779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присоединении Республики Казахстан к Международной конвенции о согласовании условий проведения контроля грузов на границах</w:t>
      </w:r>
    </w:p>
    <w:p>
      <w:pPr>
        <w:spacing w:after="0"/>
        <w:ind w:left="0"/>
        <w:jc w:val="both"/>
      </w:pPr>
      <w:r>
        <w:rPr>
          <w:rFonts w:ascii="Times New Roman"/>
          <w:b w:val="false"/>
          <w:i w:val="false"/>
          <w:color w:val="000000"/>
          <w:sz w:val="28"/>
        </w:rPr>
        <w:t>Закон Республики Казахстан от 6 мая 2002 года № 320</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Республике Казахстан присоединиться к Международной конвенции о 
согласовании условий проведения контроля грузов на границах, совершенной в 
Женеве 21 октября 1982 года.
     Президент
     Республики Казахстан
                                                              ЕСЕ/ТRАNS/55
                    Европейская экономическая комиссия 
                    Комитет по внутреннему транспорту
             Международная Конвенция о согласовании условий
                проведения контроля грузов на границах
               Совершено в Женеве 21 октября 1982 года
                   Организация Объединенных Наций
     Договаривающиеся Стороны,
     желая улучшить международные перевозки грузов, 
     принимая во внимание необходимость содействия прохождению грузов через
границы,
     отмечая, что меры контроля осуществляются на границах различными 
службами контроля,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признавая, что условия проведения этих видов контроля могут быть в 
значительной мере согласованы без нанесения ущерба их целям, их 
надлежащему проведению и без снижения их эффективности, 
</w:t>
      </w:r>
      <w:r>
        <w:br/>
      </w:r>
      <w:r>
        <w:rPr>
          <w:rFonts w:ascii="Times New Roman"/>
          <w:b w:val="false"/>
          <w:i w:val="false"/>
          <w:color w:val="000000"/>
          <w:sz w:val="28"/>
        </w:rPr>
        <w:t>
          будучи убеждены, что согласование условий проведения пограничного 
контроля представляет собой одно из важных средств для достижения этих 
целей,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I -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 Определения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соответствии с настоящей Конвенцией:
</w:t>
      </w:r>
      <w:r>
        <w:br/>
      </w:r>
      <w:r>
        <w:rPr>
          <w:rFonts w:ascii="Times New Roman"/>
          <w:b w:val="false"/>
          <w:i w:val="false"/>
          <w:color w:val="000000"/>
          <w:sz w:val="28"/>
        </w:rPr>
        <w:t>
          а) под "таможней" подразумевается государственная служба, которая 
несет ответственность за обеспечение выполнения таможенного 
законодательства и сбор импортных и экспортных пошлин и налогов, а также 
за применение других законов и правил, касающихся, среди прочего, ввоза, 
транзита и вывоза грузов;
</w:t>
      </w:r>
      <w:r>
        <w:br/>
      </w:r>
      <w:r>
        <w:rPr>
          <w:rFonts w:ascii="Times New Roman"/>
          <w:b w:val="false"/>
          <w:i w:val="false"/>
          <w:color w:val="000000"/>
          <w:sz w:val="28"/>
        </w:rPr>
        <w:t>
          b) под "таможенным контролем" подразумеваются меры, применяемые в 
целях обеспечения выполнения законов и правил, за соблюдение которых несут 
ответственность таможни;
</w:t>
      </w:r>
      <w:r>
        <w:br/>
      </w:r>
      <w:r>
        <w:rPr>
          <w:rFonts w:ascii="Times New Roman"/>
          <w:b w:val="false"/>
          <w:i w:val="false"/>
          <w:color w:val="000000"/>
          <w:sz w:val="28"/>
        </w:rPr>
        <w:t>
          c) под "медико-санитарным контролем" подразумевается контроль, 
осуществляемый в целях охраны жизни и здоровья людей, за исключением 
ветеринарного контроля; 
</w:t>
      </w:r>
      <w:r>
        <w:br/>
      </w:r>
      <w:r>
        <w:rPr>
          <w:rFonts w:ascii="Times New Roman"/>
          <w:b w:val="false"/>
          <w:i w:val="false"/>
          <w:color w:val="000000"/>
          <w:sz w:val="28"/>
        </w:rPr>
        <w:t>
          d) под "ветеринарным контролем" подразумевается санитарный контроль, 
осуществляемый в отношении животных и продуктов животного происхождения с 
целью защиты жизни и здоровья людей и животных, а также контроль предметов 
или грузов, которые могут являться переносчиками болезней животных;
</w:t>
      </w:r>
      <w:r>
        <w:br/>
      </w:r>
      <w:r>
        <w:rPr>
          <w:rFonts w:ascii="Times New Roman"/>
          <w:b w:val="false"/>
          <w:i w:val="false"/>
          <w:color w:val="000000"/>
          <w:sz w:val="28"/>
        </w:rPr>
        <w:t>
          e) под "фитосанитарным контролем" подразумевается контроль, 
направленный на предупреждение распространения и перевозки через 
государственные границы вредителей растений и продуктов растительного 
происхождения;
</w:t>
      </w:r>
      <w:r>
        <w:br/>
      </w:r>
      <w:r>
        <w:rPr>
          <w:rFonts w:ascii="Times New Roman"/>
          <w:b w:val="false"/>
          <w:i w:val="false"/>
          <w:color w:val="000000"/>
          <w:sz w:val="28"/>
        </w:rPr>
        <w:t>
          f) под "контролем соответствия техническим стандартам" 
подразумевается контроль, обеспечивающий соответствие грузов минимальным 
требованиям международных или национальных стандартов, определенным 
соответствующими законами и правилами;
</w:t>
      </w:r>
      <w:r>
        <w:br/>
      </w:r>
      <w:r>
        <w:rPr>
          <w:rFonts w:ascii="Times New Roman"/>
          <w:b w:val="false"/>
          <w:i w:val="false"/>
          <w:color w:val="000000"/>
          <w:sz w:val="28"/>
        </w:rPr>
        <w:t>
          g) под "контролем качества" подразумевается всякий другой контроль, 
отличающийся от вышеперечисленных и осуществляемый с целью обеспечения 
соответствия грузов минимальным международным или национальным показателям 
качества, установленным соответствующими законами и правилами;
</w:t>
      </w:r>
      <w:r>
        <w:br/>
      </w:r>
      <w:r>
        <w:rPr>
          <w:rFonts w:ascii="Times New Roman"/>
          <w:b w:val="false"/>
          <w:i w:val="false"/>
          <w:color w:val="000000"/>
          <w:sz w:val="28"/>
        </w:rPr>
        <w:t>
          h) под "службой контроля" подразумевается любая служба, на которую 
возложена обязанность осуществлять все или некоторые виды контроля, 
определенные выше, или любые другие виды контроля, которым регулярно 
подвергаются импортные, экспортные или транзитные грузы.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 Цель Конвенции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Для облегчения международной перевозки грузов настоящая Конвенция 
имеет целью сокращение требований в отношении соблюдения формальностей, а 
также видов и продолжительности контроля, в частности путем национальной и 
международной координации процедур контроля и методов их применения.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 Сфера применения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Настоящая Конвенция применяется ко всем грузам, пересекающим при 
ввозе, вывозе или транзите одну или более морских, воздушных или 
сухопутных границ.
</w:t>
      </w:r>
      <w:r>
        <w:br/>
      </w:r>
      <w:r>
        <w:rPr>
          <w:rFonts w:ascii="Times New Roman"/>
          <w:b w:val="false"/>
          <w:i w:val="false"/>
          <w:color w:val="000000"/>
          <w:sz w:val="28"/>
        </w:rPr>
        <w:t>
          2. Настоящая Конвенция применяется ко всем службам контроля 
Договаривающихся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II - Согласование процедур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 Координация видов контроля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Договаривающиеся стороны обязуются по возможности организовывать 
согласованную работу таможенных служб и других служб контроля.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 Средства, предоставляемые в распоряжение служб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Для обеспечения надлежащего функционирования служб контроля 
Договаривающиеся стороны должны обеспечивать, чтобы данные службы имели по 
мере возможности и в рамках национального законодательства в своем 
распоряжении:
</w:t>
      </w:r>
      <w:r>
        <w:br/>
      </w:r>
      <w:r>
        <w:rPr>
          <w:rFonts w:ascii="Times New Roman"/>
          <w:b w:val="false"/>
          <w:i w:val="false"/>
          <w:color w:val="000000"/>
          <w:sz w:val="28"/>
        </w:rPr>
        <w:t>
          а) квалифицированный персонал в достаточном количестве с учетом 
потребностей перевозок; 
</w:t>
      </w:r>
      <w:r>
        <w:br/>
      </w:r>
      <w:r>
        <w:rPr>
          <w:rFonts w:ascii="Times New Roman"/>
          <w:b w:val="false"/>
          <w:i w:val="false"/>
          <w:color w:val="000000"/>
          <w:sz w:val="28"/>
        </w:rPr>
        <w:t>
          b) оборудование и устройства, необходимые для проведения проверки с 
учетом вида транспорта и грузов, подлежащих контролю, и потребностей 
перевозок;
</w:t>
      </w:r>
      <w:r>
        <w:br/>
      </w:r>
      <w:r>
        <w:rPr>
          <w:rFonts w:ascii="Times New Roman"/>
          <w:b w:val="false"/>
          <w:i w:val="false"/>
          <w:color w:val="000000"/>
          <w:sz w:val="28"/>
        </w:rPr>
        <w:t>
          c) официальные инструкции для должностных лиц, с тем чтобы они 
действовали в соответствии с международными договорами и соглашениями, а 
также в соответствии с действующими национальными предписаниями.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 Международное сотрудничество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Договаривающиеся стороны обязуются сотрудничать друг с другом и 
прибегать к необходимому сотрудничеству с компетентными международными 
органами для достижения целей настоящей Конвенции, а также стремиться к 
заключению в необходимых случаях новых многосторонних или двусторонних 
договоров или соглашений.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 Сотрудничество между соседними странами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Во всех случаях пересечения общей сухопутной границы заинтересованные 
Договаривающиеся стороны принимают, когда это возможно, соответствующие 
меры для облегчения провоза грузов, в частности:
</w:t>
      </w:r>
      <w:r>
        <w:br/>
      </w:r>
      <w:r>
        <w:rPr>
          <w:rFonts w:ascii="Times New Roman"/>
          <w:b w:val="false"/>
          <w:i w:val="false"/>
          <w:color w:val="000000"/>
          <w:sz w:val="28"/>
        </w:rPr>
        <w:t>
          a) они прилагают все усилия для организации совместного контроля 
грузов и документов путем установки совместно используемого оборудования;
</w:t>
      </w:r>
      <w:r>
        <w:br/>
      </w:r>
      <w:r>
        <w:rPr>
          <w:rFonts w:ascii="Times New Roman"/>
          <w:b w:val="false"/>
          <w:i w:val="false"/>
          <w:color w:val="000000"/>
          <w:sz w:val="28"/>
        </w:rPr>
        <w:t>
          b) они прилагают все усилия для обеспечения того, чтобы были 
аналогичными:
</w:t>
      </w:r>
      <w:r>
        <w:br/>
      </w:r>
      <w:r>
        <w:rPr>
          <w:rFonts w:ascii="Times New Roman"/>
          <w:b w:val="false"/>
          <w:i w:val="false"/>
          <w:color w:val="000000"/>
          <w:sz w:val="28"/>
        </w:rPr>
        <w:t>
          часы работы пограничных постов, 
</w:t>
      </w:r>
      <w:r>
        <w:br/>
      </w:r>
      <w:r>
        <w:rPr>
          <w:rFonts w:ascii="Times New Roman"/>
          <w:b w:val="false"/>
          <w:i w:val="false"/>
          <w:color w:val="000000"/>
          <w:sz w:val="28"/>
        </w:rPr>
        <w:t>
          службы контроля, которые осуществляют свою деятельность на этих 
постах, 
</w:t>
      </w:r>
      <w:r>
        <w:br/>
      </w:r>
      <w:r>
        <w:rPr>
          <w:rFonts w:ascii="Times New Roman"/>
          <w:b w:val="false"/>
          <w:i w:val="false"/>
          <w:color w:val="000000"/>
          <w:sz w:val="28"/>
        </w:rPr>
        <w:t>
          категории грузов, средства транспорта и системы международного 
таможенного транзита, которые могут быть приняты или использоваться в этих 
странах.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 Обмен информацией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Договаривающиеся стороны обмениваются при наличии соответствующей 
просьбы информацией, необходимой для применения настоящей Конвенции в 
соответствии с условиями, указанными в приложениях.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 Документы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Договаривающиеся стороны будут стремиться широко использовать в 
отношениях друг с другом и с компетентными международными органами 
документы, составленные в соответствии с образцом-формуляром Организации 
Объединенных Наций.
</w:t>
      </w:r>
      <w:r>
        <w:br/>
      </w:r>
      <w:r>
        <w:rPr>
          <w:rFonts w:ascii="Times New Roman"/>
          <w:b w:val="false"/>
          <w:i w:val="false"/>
          <w:color w:val="000000"/>
          <w:sz w:val="28"/>
        </w:rPr>
        <w:t>
          2. Договаривающиеся стороны принимают документы, изготовленные с 
использованием любого соответствующего технического процесса, при условии, 
что они отвечают официальным правилам в отношении их формы, аутентичности 
и заверения, а также при условии, что они легко читаемы и понятны.
</w:t>
      </w:r>
      <w:r>
        <w:br/>
      </w:r>
      <w:r>
        <w:rPr>
          <w:rFonts w:ascii="Times New Roman"/>
          <w:b w:val="false"/>
          <w:i w:val="false"/>
          <w:color w:val="000000"/>
          <w:sz w:val="28"/>
        </w:rPr>
        <w:t>
          3. Договаривающиеся стороны обеспечивают, чтобы необходимые документы 
подготавливались и заверялись в полном соответствии с соответствующим 
законодательством.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III - Положения, относящиеся к транзиту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 Транзитные грузы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Договаривающиеся стороны соглашаются применять, по мере 
возможности, простой и ускоренный режим в отношении транзитных грузов, в 
особенности грузов, которые перевозятся в соответствии с системой 
международного таможенного транзита, предусматривая проведение их контроля 
только в тех случаях, когда это оправдано сложившимися обстоятельствами 
или рисками. Кроме того, они принимают во внимание положение стран, не 
имеющих выхода к морю. Они прилагают все усилия для того, чтобы 
предусмотреть увеличение продолжительности времени, в течение которого 
может производиться выдача по уплате таможенной пошлины грузов, 
перевозимых в соответствии с какой-либо системой международного 
таможенного транзита, и расширение компетенции существующих таможен в 
этой области. 
</w:t>
      </w:r>
      <w:r>
        <w:br/>
      </w:r>
      <w:r>
        <w:rPr>
          <w:rFonts w:ascii="Times New Roman"/>
          <w:b w:val="false"/>
          <w:i w:val="false"/>
          <w:color w:val="000000"/>
          <w:sz w:val="28"/>
        </w:rPr>
        <w:t>
          2. Они прилагают все усилия для максимального облегчения транзита 
грузов, перевозимых в контейнерах или других упаковочных средствах, 
обеспечивающих достаточную безопасность.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IV - Прочие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 Общественный порядок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Ни одно положение настоящей Конвенции не препятствует введению 
запретов или ограничений в отношении импорта, экспорта или транзита по 
соображениям общественного порядка, и в частности, общественной 
безопасности, морали и здравоохранения или в целях охраны окружающей 
среды, культурного наследия или промышленной, коммерческой и 
интеллектуальной собственности.
</w:t>
      </w:r>
      <w:r>
        <w:br/>
      </w:r>
      <w:r>
        <w:rPr>
          <w:rFonts w:ascii="Times New Roman"/>
          <w:b w:val="false"/>
          <w:i w:val="false"/>
          <w:color w:val="000000"/>
          <w:sz w:val="28"/>
        </w:rPr>
        <w:t>
          2. Тем не менее Договаривающиеся стороны стремятся применять к видам 
контроля, связанным с применением мер, упомянутых в пункте 1 выше, когда 
это возможно без ущерба для эффективности таких видов контроля, положения 
настоящей Конвенции, в частности положения статей 6-9.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 Чрезвычайные меры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Чрезвычайные меры, которые Договаривающиеся стороны могут быть 
вынуждены ввести ввиду особых обстоятельств, должны соответствовать 
причинам, вызвавшим их введение, и их осуществление должно быть 
приостановлено или отменено при устранении этих причин.
</w:t>
      </w:r>
      <w:r>
        <w:br/>
      </w:r>
      <w:r>
        <w:rPr>
          <w:rFonts w:ascii="Times New Roman"/>
          <w:b w:val="false"/>
          <w:i w:val="false"/>
          <w:color w:val="000000"/>
          <w:sz w:val="28"/>
        </w:rPr>
        <w:t>
          2. Во всех случаях, когда это не наносит ущерба эффективности этих 
мер, Договаривающиеся стороны публикуют соответствующие положения в 
отношении таких мер.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 Приложения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Приложения к настоящей Конвенции являются неотъемлемой частью 
данной Конвенции.
</w:t>
      </w:r>
      <w:r>
        <w:br/>
      </w:r>
      <w:r>
        <w:rPr>
          <w:rFonts w:ascii="Times New Roman"/>
          <w:b w:val="false"/>
          <w:i w:val="false"/>
          <w:color w:val="000000"/>
          <w:sz w:val="28"/>
        </w:rPr>
        <w:t>
          2. Новые приложения, касающиеся других видов контроля, могут быть 
включены в настоящую Конвенцию в соответствии с процедурой, определенной в 
статьях 22 и 24 ниже.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 Отношение к другим договорам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Без ущерба для положений статьи 6 настоящая Конвенция не влияет на 
права и обязательства, вытекающие из договоров, которые Договаривающиеся 
стороны настоящей Конвенции заключили, прежде чем стать Договаривающимися 
сторонами данной Конвенции.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Настоящая Конвенция не препятствует применению более широких льгот, 
которые две или более Договаривающиеся стороны пожелают предоставить друг 
другу, и не ущемляет права региональных организаций в области 
экономической интеграции, упомянутых в статье 16, которые являются 
Договаривающимися сторонами, применять свое законодательство к контролю на 
своих внутренних границах при условии, что это никоим образом не уменьшает 
объема льгот, вытекающих из настоящей Конвенции.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 Подписание, ратификация, принятие, 
</w:t>
      </w:r>
      <w:r>
        <w:br/>
      </w:r>
      <w:r>
        <w:rPr>
          <w:rFonts w:ascii="Times New Roman"/>
          <w:b w:val="false"/>
          <w:i w:val="false"/>
          <w:color w:val="000000"/>
          <w:sz w:val="28"/>
        </w:rPr>
        <w:t>
                                              утверждение и присоединение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Настоящая Конвенция, которая сдается на хранение Генеральному 
секретарю Организации Объединенных Наций, открыта для участия всех 
государств и региональных организаций в области экономической интеграции, 
состоящих из суверенных государств, компетентных в отношении ведения 
переговоров, заключения и применения международных соглашений, касающихся 
вопросов, предусмотренных в настоящей Конвенции.
</w:t>
      </w:r>
      <w:r>
        <w:br/>
      </w:r>
      <w:r>
        <w:rPr>
          <w:rFonts w:ascii="Times New Roman"/>
          <w:b w:val="false"/>
          <w:i w:val="false"/>
          <w:color w:val="000000"/>
          <w:sz w:val="28"/>
        </w:rPr>
        <w:t>
          2. В отношении вопросов, входящих в их компетенцию, региональные 
организации в области экономической интеграции, упомянутые в пункте 1, 
могут от своего имени осуществлять права и выполнять обязательства, 
предусмотренные настоящей Конвенцией для государств-членов, которые 
являются Договаривающимися сторонами данной Конвенции. В этих случаях 
государства-члены таких организаций не могут самостоятельно осуществлять 
эти права, включая право голосования.
</w:t>
      </w:r>
      <w:r>
        <w:br/>
      </w:r>
      <w:r>
        <w:rPr>
          <w:rFonts w:ascii="Times New Roman"/>
          <w:b w:val="false"/>
          <w:i w:val="false"/>
          <w:color w:val="000000"/>
          <w:sz w:val="28"/>
        </w:rPr>
        <w:t>
          3. Государства и вышеупомянутые региональные организации в области 
экономической интеграции могут стать Договаривающимися сторонами настоящей 
Конвенции:
</w:t>
      </w:r>
      <w:r>
        <w:br/>
      </w:r>
      <w:r>
        <w:rPr>
          <w:rFonts w:ascii="Times New Roman"/>
          <w:b w:val="false"/>
          <w:i w:val="false"/>
          <w:color w:val="000000"/>
          <w:sz w:val="28"/>
        </w:rPr>
        <w:t>
          a) путем сдачи на хранение документа о ратификации, принятии или 
утверждении после ее подписания или
</w:t>
      </w:r>
      <w:r>
        <w:br/>
      </w:r>
      <w:r>
        <w:rPr>
          <w:rFonts w:ascii="Times New Roman"/>
          <w:b w:val="false"/>
          <w:i w:val="false"/>
          <w:color w:val="000000"/>
          <w:sz w:val="28"/>
        </w:rPr>
        <w:t>
          b) путем сдачи на хранение документа о присоединении. 
</w:t>
      </w:r>
      <w:r>
        <w:br/>
      </w:r>
      <w:r>
        <w:rPr>
          <w:rFonts w:ascii="Times New Roman"/>
          <w:b w:val="false"/>
          <w:i w:val="false"/>
          <w:color w:val="000000"/>
          <w:sz w:val="28"/>
        </w:rPr>
        <w:t>
          4. Настоящая Конвенция будет открыта для подписания всеми 
государствами и упомянутыми в пункте 1 региональными организациями в 
области экономической интеграции в Отделении Организации Объединенных 
Наций в Женеве с 1 апреля 1983 года по 31 марта 1984 года включительно.
</w:t>
      </w:r>
      <w:r>
        <w:br/>
      </w:r>
      <w:r>
        <w:rPr>
          <w:rFonts w:ascii="Times New Roman"/>
          <w:b w:val="false"/>
          <w:i w:val="false"/>
          <w:color w:val="000000"/>
          <w:sz w:val="28"/>
        </w:rPr>
        <w:t>
          5. С 1 апреля 1983 года она будет также открыта для присоединения. 
</w:t>
      </w:r>
      <w:r>
        <w:br/>
      </w:r>
      <w:r>
        <w:rPr>
          <w:rFonts w:ascii="Times New Roman"/>
          <w:b w:val="false"/>
          <w:i w:val="false"/>
          <w:color w:val="000000"/>
          <w:sz w:val="28"/>
        </w:rPr>
        <w:t>
          6. Документы о ратификации, принятии, утверждении или присоединении 
сдаются на хранение Генеральному секретарю Организации Объединенных Наций.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17 - Вступление в силу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Настоящая Конвенция вступает в силу по истечении трех месяцев с 
того дня, когда пять государств сдадут на хранение свои документы о 
ратификации, принятии, утверждении или присоединении.
</w:t>
      </w:r>
      <w:r>
        <w:br/>
      </w:r>
      <w:r>
        <w:rPr>
          <w:rFonts w:ascii="Times New Roman"/>
          <w:b w:val="false"/>
          <w:i w:val="false"/>
          <w:color w:val="000000"/>
          <w:sz w:val="28"/>
        </w:rPr>
        <w:t>
          2. После того как пять государств сдадут на хранение свои документы о 
ратификации, принятии, утверждении или присоединении, настоящая Конвенция 
вступает в силу для всех последующих Договаривающихся сторон по истечении 
трех месяцев со дня сдачи ими на хранение своих документов о ратификации, 
принятии, утверждении или присоединении.
</w:t>
      </w:r>
      <w:r>
        <w:br/>
      </w:r>
      <w:r>
        <w:rPr>
          <w:rFonts w:ascii="Times New Roman"/>
          <w:b w:val="false"/>
          <w:i w:val="false"/>
          <w:color w:val="000000"/>
          <w:sz w:val="28"/>
        </w:rPr>
        <w:t>
          3. Любой документ о ратификации, принятии, утверждении или 
присоединении, сданный на хранение после вступления в силу какой-либо 
поправки к настоящей Конвенции, считается относящимся к измененному тексту 
настоящей Конвенции.
</w:t>
      </w:r>
      <w:r>
        <w:br/>
      </w:r>
      <w:r>
        <w:rPr>
          <w:rFonts w:ascii="Times New Roman"/>
          <w:b w:val="false"/>
          <w:i w:val="false"/>
          <w:color w:val="000000"/>
          <w:sz w:val="28"/>
        </w:rPr>
        <w:t>
          4. Любой такой документ, сданный на хранение после принятия в 
соответствии с процедурой, предусмотренной в статье 22, какой-либо 
поправки, но до вступления ее в силу, считается относящимся к измененному 
тексту настоящей Конвенции со дня вступления в силу этой поправки.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18 - Денонсация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Каждая Договаривающаяся сторона может денонсировать настоящую 
Конвенцию посредством нотификации, адресованной Генеральному секретарю 
Организации Объединенных Наций.
</w:t>
      </w:r>
      <w:r>
        <w:br/>
      </w:r>
      <w:r>
        <w:rPr>
          <w:rFonts w:ascii="Times New Roman"/>
          <w:b w:val="false"/>
          <w:i w:val="false"/>
          <w:color w:val="000000"/>
          <w:sz w:val="28"/>
        </w:rPr>
        <w:t>
          2. Денонсация вступает в силу по истечении шести месяцев со дня 
получения Генеральным секретарем этой нотификации.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19 - Прекращение действия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Если после вступления в силу настоящей Конвенции число государств, 
являющихся Договаривающимися сторонами, будет менее пяти в течение любого 
периода, состоящего из последовательных двенадцати месяцев по истечении 
указанного выше двенадцатимесячного периода, настоящая Конвенция 
утрачивает силу.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20 - Разрешение споров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Любой спор между двумя или более Договаривающимися сторонами в 
отношении толкования или применения настоящей Конвенции по возможности 
разрешается путем переговоров между ними или другими средствами 
урегулирования.
</w:t>
      </w:r>
      <w:r>
        <w:br/>
      </w:r>
      <w:r>
        <w:rPr>
          <w:rFonts w:ascii="Times New Roman"/>
          <w:b w:val="false"/>
          <w:i w:val="false"/>
          <w:color w:val="000000"/>
          <w:sz w:val="28"/>
        </w:rPr>
        <w:t>
          2. Любой спор между двумя или более Договаривающимися сторонами в 
отношении толкования или применения настоящей Конвенции, который не может 
быть разрешен способами, предусмотренными в пункте 1 настоящей статьи, 
передается по просьбе одной из них арбитражному суду, составленному 
следующим образом: каждая сторона в споре назначает арбитра, и эти арбитры 
назначают другого арбитра, который становится председателем. Если по 
истечении трех месяцев со дня получения просьбы одна из сторон не 
назначила арбитра или арбитры не смогли избрать председателя, любая из 
сторон может обратиться к Генеральному секретарю Организации Объединенных 
Наций с просьбой назначить арбитра или председателя арбитражного суда.
</w:t>
      </w:r>
      <w:r>
        <w:br/>
      </w:r>
      <w:r>
        <w:rPr>
          <w:rFonts w:ascii="Times New Roman"/>
          <w:b w:val="false"/>
          <w:i w:val="false"/>
          <w:color w:val="000000"/>
          <w:sz w:val="28"/>
        </w:rPr>
        <w:t>
          Решение арбитражного суда, назначенного в соответствии с положениями 
пункта 2, является окончательным и имеет обязательную силу для сторон в 
споре.
</w:t>
      </w:r>
      <w:r>
        <w:br/>
      </w:r>
      <w:r>
        <w:rPr>
          <w:rFonts w:ascii="Times New Roman"/>
          <w:b w:val="false"/>
          <w:i w:val="false"/>
          <w:color w:val="000000"/>
          <w:sz w:val="28"/>
        </w:rPr>
        <w:t>
          Арбитражный суд устанавливает свои правила процедуры. 
</w:t>
      </w:r>
      <w:r>
        <w:br/>
      </w:r>
      <w:r>
        <w:rPr>
          <w:rFonts w:ascii="Times New Roman"/>
          <w:b w:val="false"/>
          <w:i w:val="false"/>
          <w:color w:val="000000"/>
          <w:sz w:val="28"/>
        </w:rPr>
        <w:t>
          Арбитражный суд принимает свои решения большинством голосов на основе 
договоров, существующих между сторонами в споре, и общего международного 
права.
</w:t>
      </w:r>
      <w:r>
        <w:br/>
      </w:r>
      <w:r>
        <w:rPr>
          <w:rFonts w:ascii="Times New Roman"/>
          <w:b w:val="false"/>
          <w:i w:val="false"/>
          <w:color w:val="000000"/>
          <w:sz w:val="28"/>
        </w:rPr>
        <w:t>
          Любые разногласия, которые могут возникнуть между сторонами в споре в 
отношении толкования и выполнения арбитражного решения, могут быть 
переданы любой из сторон на рассмотрение арбитражного суда, который вынес 
это решение. 
</w:t>
      </w:r>
      <w:r>
        <w:br/>
      </w:r>
      <w:r>
        <w:rPr>
          <w:rFonts w:ascii="Times New Roman"/>
          <w:b w:val="false"/>
          <w:i w:val="false"/>
          <w:color w:val="000000"/>
          <w:sz w:val="28"/>
        </w:rPr>
        <w:t>
          Каждая сторона в споре несет расходы, связанные с использованием 
услуг назначенного ею арбитра и своих представителей при арбитражном 
разбирательстве; расходы, связанные с использованием услуг председателя, и 
другие расходы стороны в споре несут в равных частях.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21 - Оговорки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Любая Договаривающаяся сторона может в момент подписания, 
ратификации, принятия или утверждения настоящей Конвенции или 
присоединения к ней заявить, что она не считает себя связанной пунктами 
2-7 статьи 20 настоящей Конвенции. Другие Договаривающиеся стороны не 
будут связаны этими пунктами в отношении любой Договаривающейся стороны, 
сделавшей такую оговорку.
</w:t>
      </w:r>
      <w:r>
        <w:br/>
      </w:r>
      <w:r>
        <w:rPr>
          <w:rFonts w:ascii="Times New Roman"/>
          <w:b w:val="false"/>
          <w:i w:val="false"/>
          <w:color w:val="000000"/>
          <w:sz w:val="28"/>
        </w:rPr>
        <w:t>
          2. Любая Договаривающаяся сторона, сделавшая оговорку в соответствии 
с пунктом 1 настоящей статьи, может в любое время снять эту оговорку путем 
уведомления Генерального секретаря Организации Объединенных Наций.
</w:t>
      </w:r>
      <w:r>
        <w:br/>
      </w:r>
      <w:r>
        <w:rPr>
          <w:rFonts w:ascii="Times New Roman"/>
          <w:b w:val="false"/>
          <w:i w:val="false"/>
          <w:color w:val="000000"/>
          <w:sz w:val="28"/>
        </w:rPr>
        <w:t>
          3. За исключением оговорок, предусмотренных в пункте 1 настоящей 
статьи, никакие другие оговорки к настоящей Конвенции не допускаются.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22 - Процедура внесения поправок в 
</w:t>
      </w:r>
      <w:r>
        <w:br/>
      </w:r>
      <w:r>
        <w:rPr>
          <w:rFonts w:ascii="Times New Roman"/>
          <w:b w:val="false"/>
          <w:i w:val="false"/>
          <w:color w:val="000000"/>
          <w:sz w:val="28"/>
        </w:rPr>
        <w:t>
                                                          настоящую Конвенцию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Поправки к настоящей Конвенции, включая приложения к ней, могут 
вноситься по предложению любой Договаривающейся стороны в соответствии с 
процедурой, установленной в настоящей статье.
</w:t>
      </w:r>
      <w:r>
        <w:br/>
      </w:r>
      <w:r>
        <w:rPr>
          <w:rFonts w:ascii="Times New Roman"/>
          <w:b w:val="false"/>
          <w:i w:val="false"/>
          <w:color w:val="000000"/>
          <w:sz w:val="28"/>
        </w:rPr>
        <w:t>
          2. Любая предложенная поправка к настоящей Конвенции рассматривается 
Административным комитетом, состоящим из всех Договаривающихся сторон, в 
соответствии с правилами процедуры, изложенными в приложении 7. Любая 
такая поправка, рассмотренная или разработанная на сессии 
Административного комитета и одобренная им, направляется Генеральным 
секретарем Организации Объединенных Наций Договаривающимся сторонам для 
принятия.
</w:t>
      </w:r>
      <w:r>
        <w:br/>
      </w:r>
      <w:r>
        <w:rPr>
          <w:rFonts w:ascii="Times New Roman"/>
          <w:b w:val="false"/>
          <w:i w:val="false"/>
          <w:color w:val="000000"/>
          <w:sz w:val="28"/>
        </w:rPr>
        <w:t>
          3. Любая предложенная поправка, разосланная в соответствии с 
предыдущим пунктом, вступает в силу для всех Договаривающихся сторон через 
три месяца по истечении двенадцатимесячного периода после даты сообщения о 
предлагаемой поправке, если в течение этого срока Генеральный секретарь 
Организации Объединенных Наций не получил от какого-либо государства, 
являющегося Договаривающейся стороной, или от региональной организации в 
области экономической интеграции, являющейся Договаривающейся стороной и 
действующей в соответствии с условиями, указанными в пункте 2 статьи 16 
настоящей Конвенции, никаких возражений против предложенной поправки.
</w:t>
      </w:r>
      <w:r>
        <w:br/>
      </w:r>
      <w:r>
        <w:rPr>
          <w:rFonts w:ascii="Times New Roman"/>
          <w:b w:val="false"/>
          <w:i w:val="false"/>
          <w:color w:val="000000"/>
          <w:sz w:val="28"/>
        </w:rPr>
        <w:t>
          4. В случае возражения против предложенной поправки, представленного 
в соответствии с положениями пункта 3 настоящей статьи, поправка считается 
непринятой и в связи с ней не принимается никаких мер.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23 - Запросы, сообщения и возражения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Генеральный секретарь Организации Объединенных Наций информирует все 
Договаривающиеся стороны и все государства обо всех запросах, сообщениях 
или возражениях, сделанных в соответствии со статьей 22, и о сроке 
вступления в силу каждой поправки.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24 - Конференция по пересмотру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 истечении пяти лет после вступления настоящей Конвенции в силу 
любая Договаривающаяся сторона может путем уведомления, направляемого 
Генеральному секретарю Организации Объединенных Наций, просить о созыве 
конференции с целью пересмотра настоящей Конвенции, указав предложения, 
которые должны быть рассмотрены этой конференцией. В этом случае:
</w:t>
      </w:r>
      <w:r>
        <w:br/>
      </w:r>
      <w:r>
        <w:rPr>
          <w:rFonts w:ascii="Times New Roman"/>
          <w:b w:val="false"/>
          <w:i w:val="false"/>
          <w:color w:val="000000"/>
          <w:sz w:val="28"/>
        </w:rPr>
        <w:t>
          i) Генеральный секретарь Организации Объединенных Наций уведомляет об 
этом все Договаривающиеся стороны и предлагает им представить в 
трехмесячный срок свои замечания в отношении первоначальных предложений, а 
также другие предложения, рассмотрение которых на конференции
представляется им желательным;
</w:t>
      </w:r>
      <w:r>
        <w:br/>
      </w:r>
      <w:r>
        <w:rPr>
          <w:rFonts w:ascii="Times New Roman"/>
          <w:b w:val="false"/>
          <w:i w:val="false"/>
          <w:color w:val="000000"/>
          <w:sz w:val="28"/>
        </w:rPr>
        <w:t>
          ii) Генеральный секретарь Организации Объединенных Наций сообщает 
также всем Договаривающимся сторонам текст любых других сделанных 
предложений и созывает конференцию по пересмотру, если в течение шести 
месяцев после уведомления по крайней мере третья часть Договаривающихся 
сторон уведомляет его о своем согласии на созыв такой конференции;
</w:t>
      </w:r>
      <w:r>
        <w:br/>
      </w:r>
      <w:r>
        <w:rPr>
          <w:rFonts w:ascii="Times New Roman"/>
          <w:b w:val="false"/>
          <w:i w:val="false"/>
          <w:color w:val="000000"/>
          <w:sz w:val="28"/>
        </w:rPr>
        <w:t>
          iii) однако если Генеральный секретарь Организации Объединенных Наций 
полагает, что предложение о пересмотре можно рассматривать как предложение 
о внесении поправки в соответствии с пунктом 1 статьи 22, то с согласия 
Договаривающейся стороны, сделавшей предложение, он может вместо процедуры 
пересмотра прибегнуть к процедуре внесения поправок, предусмотренной в 
статье 22.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25 - Уведомления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Помимо уведомлений и сообщений, предусмотренных в статьях 23 и 24, 
Генеральный секретарь Организации Объединенных Наций уведомляет все 
государства:
</w:t>
      </w:r>
      <w:r>
        <w:br/>
      </w:r>
      <w:r>
        <w:rPr>
          <w:rFonts w:ascii="Times New Roman"/>
          <w:b w:val="false"/>
          <w:i w:val="false"/>
          <w:color w:val="000000"/>
          <w:sz w:val="28"/>
        </w:rPr>
        <w:t>
          a) о подписании, ратификации, принятии, утверждении и присоединении в 
соответствии со статьей 16;
</w:t>
      </w:r>
      <w:r>
        <w:br/>
      </w:r>
      <w:r>
        <w:rPr>
          <w:rFonts w:ascii="Times New Roman"/>
          <w:b w:val="false"/>
          <w:i w:val="false"/>
          <w:color w:val="000000"/>
          <w:sz w:val="28"/>
        </w:rPr>
        <w:t>
          b) о датах вступления в силу настоящей Конвенции в соответствии со 
статьей 17;
</w:t>
      </w:r>
      <w:r>
        <w:br/>
      </w:r>
      <w:r>
        <w:rPr>
          <w:rFonts w:ascii="Times New Roman"/>
          <w:b w:val="false"/>
          <w:i w:val="false"/>
          <w:color w:val="000000"/>
          <w:sz w:val="28"/>
        </w:rPr>
        <w:t>
          с) о денонсациях в соответствии со статьей 18;
</w:t>
      </w:r>
      <w:r>
        <w:br/>
      </w:r>
      <w:r>
        <w:rPr>
          <w:rFonts w:ascii="Times New Roman"/>
          <w:b w:val="false"/>
          <w:i w:val="false"/>
          <w:color w:val="000000"/>
          <w:sz w:val="28"/>
        </w:rPr>
        <w:t>
          d) о прекращении действия настоящей Конвенции в соответствии со 
статьей 19;
</w:t>
      </w:r>
      <w:r>
        <w:br/>
      </w:r>
      <w:r>
        <w:rPr>
          <w:rFonts w:ascii="Times New Roman"/>
          <w:b w:val="false"/>
          <w:i w:val="false"/>
          <w:color w:val="000000"/>
          <w:sz w:val="28"/>
        </w:rPr>
        <w:t>
          e) об оговорках, сделанных в соответствии со статьей 21.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26 - Заверенные копии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После 31 марта 1984 года Генеральный секретарь Организации 
Объединенных Наций препровождает две надлежащим образом заверенные копии 
настоящей Конвенции каждой из Договаривающихся сторон и всем государствам, 
не являющимся Договаривающимися сторонами.
</w:t>
      </w:r>
      <w:r>
        <w:br/>
      </w:r>
      <w:r>
        <w:rPr>
          <w:rFonts w:ascii="Times New Roman"/>
          <w:b w:val="false"/>
          <w:i w:val="false"/>
          <w:color w:val="000000"/>
          <w:sz w:val="28"/>
        </w:rPr>
        <w:t>
          Совершено в Женеве 21 октября дня одна тысяча девятьсот восемьдесят 
второго года в одном подлиннике, английский, испанский, русский и 
французский тексты которого являются равно аутентичными.
</w:t>
      </w:r>
      <w:r>
        <w:br/>
      </w:r>
      <w:r>
        <w:rPr>
          <w:rFonts w:ascii="Times New Roman"/>
          <w:b w:val="false"/>
          <w:i w:val="false"/>
          <w:color w:val="000000"/>
          <w:sz w:val="28"/>
        </w:rPr>
        <w:t>
          В удостоверение чего нижеподписавшиеся полномочные представители, 
должным образом уполномоченные с этой целью, подписали настоящую Конвенцию.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1 
</w:t>
      </w:r>
      <w:r>
        <w:br/>
      </w:r>
      <w:r>
        <w:rPr>
          <w:rFonts w:ascii="Times New Roman"/>
          <w:b w:val="false"/>
          <w:i w:val="false"/>
          <w:color w:val="000000"/>
          <w:sz w:val="28"/>
        </w:rPr>
        <w:t>
                Согласование таможенного контроля и других видов контроля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Принципы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Учитывая наличие таможен на всех границах и общий характер их 
работы, организация других видов контроля, по мере возможности, 
координируется с таможенным контролем. 
</w:t>
      </w:r>
      <w:r>
        <w:br/>
      </w:r>
      <w:r>
        <w:rPr>
          <w:rFonts w:ascii="Times New Roman"/>
          <w:b w:val="false"/>
          <w:i w:val="false"/>
          <w:color w:val="000000"/>
          <w:sz w:val="28"/>
        </w:rPr>
        <w:t>
          2. Во исполнение этого принципа в случае необходимости допускается 
проведение всех или отдельных видов контроля не на границе, при условии, 
что используемые процедуры содействуют облегчению международных перевозок 
грузов.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Таможня должна иметь полную информацию о юридических предписаниях 
или правилах, которые могут потребовать осуществления других видов 
контроля, отличных от таможенного.
</w:t>
      </w:r>
      <w:r>
        <w:br/>
      </w:r>
      <w:r>
        <w:rPr>
          <w:rFonts w:ascii="Times New Roman"/>
          <w:b w:val="false"/>
          <w:i w:val="false"/>
          <w:color w:val="000000"/>
          <w:sz w:val="28"/>
        </w:rPr>
        <w:t>
          2. Если установлена необходимость осуществления других видов 
контроля, таможня обеспечивает, чтобы причастные службы были информированы 
об этом, и сотрудничает с ними.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Организация контроля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 случае необходимости проведения нескольких видов контроля в 
одном месте компетентные службы принимают все надлежащие меры для того, 
чтобы проводить их по возможности одновременно или в возможно короткое 
время. Они прилагают все усилия для того, чтобы скоординировать свои 
потребности в документах и информации.
</w:t>
      </w:r>
      <w:r>
        <w:br/>
      </w:r>
      <w:r>
        <w:rPr>
          <w:rFonts w:ascii="Times New Roman"/>
          <w:b w:val="false"/>
          <w:i w:val="false"/>
          <w:color w:val="000000"/>
          <w:sz w:val="28"/>
        </w:rPr>
        <w:t>
          2. В частности, компетентные службы принимают все необходимые меры 
для того, чтобы в том месте, где проводится контроль, имелся необходимый 
персонал и оборудование.
</w:t>
      </w:r>
      <w:r>
        <w:br/>
      </w:r>
      <w:r>
        <w:rPr>
          <w:rFonts w:ascii="Times New Roman"/>
          <w:b w:val="false"/>
          <w:i w:val="false"/>
          <w:color w:val="000000"/>
          <w:sz w:val="28"/>
        </w:rPr>
        <w:t>
          3. Таможни могут при предоставлении им компетентными службами в 
прямой форме полномочий проводить от их имени все или некоторые виды 
контроля, ответственность за проведение которых несут эти службы. В таком 
случае эти службы обеспечивают, чтобы таможням были переданы все 
необходимые средства.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Результаты контроля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По всем вопросам, охватываемым настоящей Конвенцией, контрольные 
службы и таможни незамедлительно обмениваются всей соответствующей 
информацией с целью обеспечения эффективности соответствующих видов 
контроля.
</w:t>
      </w:r>
      <w:r>
        <w:br/>
      </w:r>
      <w:r>
        <w:rPr>
          <w:rFonts w:ascii="Times New Roman"/>
          <w:b w:val="false"/>
          <w:i w:val="false"/>
          <w:color w:val="000000"/>
          <w:sz w:val="28"/>
        </w:rPr>
        <w:t>
          2. На основании результатов проведенного контроля компетентная служба 
</w:t>
      </w:r>
      <w:r>
        <w:rPr>
          <w:rFonts w:ascii="Times New Roman"/>
          <w:b w:val="false"/>
          <w:i w:val="false"/>
          <w:color w:val="000000"/>
          <w:sz w:val="28"/>
        </w:rPr>
        <w:t>
</w:t>
      </w:r>
    </w:p>
    <w:p>
      <w:pPr>
        <w:spacing w:after="0"/>
        <w:ind w:left="0"/>
        <w:jc w:val="left"/>
      </w:pPr>
      <w:r>
        <w:rPr>
          <w:rFonts w:ascii="Times New Roman"/>
          <w:b w:val="false"/>
          <w:i w:val="false"/>
          <w:color w:val="000000"/>
          <w:sz w:val="28"/>
        </w:rPr>
        <w:t>
принимает решение о том, как в дальнейшем поступить с данным грузом, и, в 
случае необходимости, информирует об этом компетентные службы, проводящие 
другие виды контроля. На основании этого решения таможня определяет для 
такого груза соответствующий таможенный режим. 
                             Приложение 2
                      Медико-санитарный контроль
                              Статья 1 
                              Принципы 
     Медико-санитарный контроль, в каком бы месте он ни осуществлялся, 
производится в соответствии с принципами, определенными в настоящей 
Конвенции, и в частности в приложении 1 к ней.
                              Статья 2
                             Информация 
     Каждая Договаривающаяся сторона обеспечивает, чтобы любому 
заинтересованному лицу незамедлительно предоставлялась следующая 
информация:
     о грузах, подлежащих медико-санитарному контролю;
     о местах, в которых данные грузы могут быть представлены для контроля;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 предусмотренных законодательными актами и правилами требованиях в 
отношении медико-санитарного контроля, а также об обычно применяемых 
процедурах.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Организация контроля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Контрольные службы следят за тем, чтобы пограничные пункты, на 
которых может проводиться медико-санитарный контроль, оснащались 
необходимым оборудованием.
</w:t>
      </w:r>
      <w:r>
        <w:br/>
      </w:r>
      <w:r>
        <w:rPr>
          <w:rFonts w:ascii="Times New Roman"/>
          <w:b w:val="false"/>
          <w:i w:val="false"/>
          <w:color w:val="000000"/>
          <w:sz w:val="28"/>
        </w:rPr>
        <w:t>
          2. Медико-санитарный контроль может также осуществляться в пунктах, 
расположенных внутри страны, если представленные свидетельства и способ 
перевозки ясно свидетельствуют о том, что грузы не могут испортиться или 
стать источником заражения во время перевозки.
</w:t>
      </w:r>
      <w:r>
        <w:br/>
      </w:r>
      <w:r>
        <w:rPr>
          <w:rFonts w:ascii="Times New Roman"/>
          <w:b w:val="false"/>
          <w:i w:val="false"/>
          <w:color w:val="000000"/>
          <w:sz w:val="28"/>
        </w:rPr>
        <w:t>
          3. В рамках действующих конвенций Договаривающиеся стороны стремятся 
по возможности сократить физический контроль перевозимых скоропортящихся 
грузов.
</w:t>
      </w:r>
      <w:r>
        <w:br/>
      </w:r>
      <w:r>
        <w:rPr>
          <w:rFonts w:ascii="Times New Roman"/>
          <w:b w:val="false"/>
          <w:i w:val="false"/>
          <w:color w:val="000000"/>
          <w:sz w:val="28"/>
        </w:rPr>
        <w:t>
          4. В случаях, когда грузы необходимо задержать до получения 
результатов медико-санитарного контроля, компетентные контрольные службы 
Договаривающихся сторон принимают меры к тому, чтобы грузы хранились в 
условиях, обеспечивающих их сохранность, при минимуме таможенных 
формальностей.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Транзитные грузы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рамках действующих конвенций Договаривающиеся стороны в тех 
случаях, когда не существует опасности заражения, по возможности 
освобождают транзитные грузы от медико-санитарного контроля.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Сотрудничество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Медико-санитарные службы осуществляют сотрудничество с 
соответствующими службами других Договаривающихся сторон в целях ускорения 
прохождения скоропортящихся грузов, подлежащих медико-санитарному 
контролю, в частности путем обмена полезной информацией. 
</w:t>
      </w:r>
      <w:r>
        <w:br/>
      </w:r>
      <w:r>
        <w:rPr>
          <w:rFonts w:ascii="Times New Roman"/>
          <w:b w:val="false"/>
          <w:i w:val="false"/>
          <w:color w:val="000000"/>
          <w:sz w:val="28"/>
        </w:rPr>
        <w:t>
          2. В случаях, когда партия скоропортящихся грузов задерживается при 
медико-санитарном контроле, компетентная служба принимает меры к тому, 
чтобы в кратчайший срок уведомить соответствующую службу страны-
экспортера, указывая причины этого задержания и меры, принятые в отношении 
грузов.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3 
</w:t>
      </w:r>
      <w:r>
        <w:br/>
      </w:r>
      <w:r>
        <w:rPr>
          <w:rFonts w:ascii="Times New Roman"/>
          <w:b w:val="false"/>
          <w:i w:val="false"/>
          <w:color w:val="000000"/>
          <w:sz w:val="28"/>
        </w:rPr>
        <w:t>
                                                Ветеринарный контроль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Принципы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Ветеринарный контроль, в каком бы месте он ни осуществлялся, 
производится в соответствии с принципами, определенными в настоящей 
Конвенции и, в частности, в приложении 1 к ней.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Определения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Ветеринарный контроль, определенный в статье 1 d) настоящей 
Конвенции, охватывает также контроль средств и условий перевозки животных 
и продуктов животного происхождения. Он может также включать в себя 
контроль качества, стандартов и различных правил, например контроль с 
целью сохранения находящихся под угрозой видов, который, по соображениям 
эффективности, часто связан с ветеринарным контролем.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Информация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Каждая Договаривающаяся сторона обеспечивает, чтобы любому 
заинтересованному лицу незамедлительно предоставлялась следующая 
информация:
</w:t>
      </w:r>
      <w:r>
        <w:br/>
      </w:r>
      <w:r>
        <w:rPr>
          <w:rFonts w:ascii="Times New Roman"/>
          <w:b w:val="false"/>
          <w:i w:val="false"/>
          <w:color w:val="000000"/>
          <w:sz w:val="28"/>
        </w:rPr>
        <w:t>
          о грузах, подлежащих ветеринарному контролю; 
</w:t>
      </w:r>
      <w:r>
        <w:br/>
      </w:r>
      <w:r>
        <w:rPr>
          <w:rFonts w:ascii="Times New Roman"/>
          <w:b w:val="false"/>
          <w:i w:val="false"/>
          <w:color w:val="000000"/>
          <w:sz w:val="28"/>
        </w:rPr>
        <w:t>
          о местах, в которых грузы могут быть представлены для контроля;
</w:t>
      </w:r>
      <w:r>
        <w:br/>
      </w:r>
      <w:r>
        <w:rPr>
          <w:rFonts w:ascii="Times New Roman"/>
          <w:b w:val="false"/>
          <w:i w:val="false"/>
          <w:color w:val="000000"/>
          <w:sz w:val="28"/>
        </w:rPr>
        <w:t>
          о болезнях, уведомление о которых является обязательным;
</w:t>
      </w:r>
      <w:r>
        <w:br/>
      </w:r>
      <w:r>
        <w:rPr>
          <w:rFonts w:ascii="Times New Roman"/>
          <w:b w:val="false"/>
          <w:i w:val="false"/>
          <w:color w:val="000000"/>
          <w:sz w:val="28"/>
        </w:rPr>
        <w:t>
          о предусмотренных законодательными актами и правилами требованиях в 
отношении ветеринарного контроля, а также об обычно применяемых процедурах.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Организация контроля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Договаривающиеся стороны стремятся:
</w:t>
      </w:r>
      <w:r>
        <w:br/>
      </w:r>
      <w:r>
        <w:rPr>
          <w:rFonts w:ascii="Times New Roman"/>
          <w:b w:val="false"/>
          <w:i w:val="false"/>
          <w:color w:val="000000"/>
          <w:sz w:val="28"/>
        </w:rPr>
        <w:t>
          создавать там, где это необходимо и возможно, соответствующие 
устройства для ветеринарного контроля в соответствии с потребностями 
перевозок; 
</w:t>
      </w:r>
      <w:r>
        <w:br/>
      </w:r>
      <w:r>
        <w:rPr>
          <w:rFonts w:ascii="Times New Roman"/>
          <w:b w:val="false"/>
          <w:i w:val="false"/>
          <w:color w:val="000000"/>
          <w:sz w:val="28"/>
        </w:rPr>
        <w:t>
          содействовать продвижению грузов, в частности путем координации часов 
работы ветеринарных и таможенных служб и обеспечения возможности 
производить таможенную очистку грузов в часы, не предусмотренные обычным 
графиком работы, если извещение об их прибытии поступило заблаговременно. 
</w:t>
      </w:r>
      <w:r>
        <w:br/>
      </w:r>
      <w:r>
        <w:rPr>
          <w:rFonts w:ascii="Times New Roman"/>
          <w:b w:val="false"/>
          <w:i w:val="false"/>
          <w:color w:val="000000"/>
          <w:sz w:val="28"/>
        </w:rPr>
        <w:t>
          2. Ветеринарный контроль продуктов животного происхождения может 
производиться в пунктах, расположенных внутри страны, если может быть 
доказана и если используемые транспортные средства таковы, что эти 
продукты не могут испортиться или стать источником заражения во время их 
перевозки.
</w:t>
      </w:r>
      <w:r>
        <w:br/>
      </w:r>
      <w:r>
        <w:rPr>
          <w:rFonts w:ascii="Times New Roman"/>
          <w:b w:val="false"/>
          <w:i w:val="false"/>
          <w:color w:val="000000"/>
          <w:sz w:val="28"/>
        </w:rPr>
        <w:t>
          3. В рамках действующих конвенций Договаривающиеся стороны стремятся 
по возможности сократить физический контроль перевозимых скоропортящихся 
грузов.
</w:t>
      </w:r>
      <w:r>
        <w:br/>
      </w:r>
      <w:r>
        <w:rPr>
          <w:rFonts w:ascii="Times New Roman"/>
          <w:b w:val="false"/>
          <w:i w:val="false"/>
          <w:color w:val="000000"/>
          <w:sz w:val="28"/>
        </w:rPr>
        <w:t>
          4. В случаях, когда грузы необходимо задержать до получения 
результатов ветеринарного контроля, компетентные контрольные службы 
Договаривающихся сторон принимают меры к тому, чтобы хранение грузов 
осуществлялось при минимуме таможенных формальностей и в условиях, 
обеспечивающих их надежный карантин и сохранность.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Транзитные грузы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рамках действующих конвенций Договаривающиеся стороны в тех 
случаях, когда не существует опасности заражения, по мере возможности 
освобождают от ветеринарного контроля продукты животного происхождения, 
перевозимые транзитом.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Сотрудничество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Службы ветеринарного контроля, осуществляют сотрудничество с 
соответствующими службами других Договаривающихся сторон в целях ускорения 
прохождения грузов, подлежащих ветеринарному контролю, в частности путем 
обмена полезной информацией.
</w:t>
      </w:r>
      <w:r>
        <w:br/>
      </w:r>
      <w:r>
        <w:rPr>
          <w:rFonts w:ascii="Times New Roman"/>
          <w:b w:val="false"/>
          <w:i w:val="false"/>
          <w:color w:val="000000"/>
          <w:sz w:val="28"/>
        </w:rPr>
        <w:t>
          2. В случаях, когда партия скоропортящихся грузов или живых животных 
задерживается при ветеринарном контроле, компетентная служба принимает 
меры к тому, чтобы в кратчайший срок уведомить соответствующую службу 
страны-экспортера, указывая причины этого задержания и меры, принятые в 
отношении грузов.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4 
</w:t>
      </w:r>
      <w:r>
        <w:br/>
      </w:r>
      <w:r>
        <w:rPr>
          <w:rFonts w:ascii="Times New Roman"/>
          <w:b w:val="false"/>
          <w:i w:val="false"/>
          <w:color w:val="000000"/>
          <w:sz w:val="28"/>
        </w:rPr>
        <w:t>
                                            Фитосанитарный контроль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Принципы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Фитосанитарный контроль, в каком бы месте он ни осуществлялся, 
производится в соответствии с принципами, определенными в настоящей 
Конвенции, и в частности в приложении 1 к ней.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Определения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Фитосанитарный контроль, определенный в статье 1 е) настоящей 
Конвенции, охватывает также контроль средств и условий перевозки растений 
и продуктов растительного происхождения. Он может также включать в себя 
меры, направленные на сохранение видов растений, которым грозит 
исчезновение.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Информация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Каждая Договаривающаяся сторона обеспечивает, чтобы любому 
заинтересованному лицу незамедлительно предоставлялась следующая 
информация:
</w:t>
      </w:r>
      <w:r>
        <w:br/>
      </w:r>
      <w:r>
        <w:rPr>
          <w:rFonts w:ascii="Times New Roman"/>
          <w:b w:val="false"/>
          <w:i w:val="false"/>
          <w:color w:val="000000"/>
          <w:sz w:val="28"/>
        </w:rPr>
        <w:t>
          - о грузах, на которые распространяются специальные фитосанитарные 
условия;
</w:t>
      </w:r>
      <w:r>
        <w:br/>
      </w:r>
      <w:r>
        <w:rPr>
          <w:rFonts w:ascii="Times New Roman"/>
          <w:b w:val="false"/>
          <w:i w:val="false"/>
          <w:color w:val="000000"/>
          <w:sz w:val="28"/>
        </w:rPr>
        <w:t>
          - о местах, в которых отдельные растения и продукты растительного 
происхождения могут быть представлены для контроля;
</w:t>
      </w:r>
      <w:r>
        <w:br/>
      </w:r>
      <w:r>
        <w:rPr>
          <w:rFonts w:ascii="Times New Roman"/>
          <w:b w:val="false"/>
          <w:i w:val="false"/>
          <w:color w:val="000000"/>
          <w:sz w:val="28"/>
        </w:rPr>
        <w:t>
          - перечень вредителей растений и продуктов растительного 
происхождения, в отношении которых действуют запрещения или ограничения;
</w:t>
      </w:r>
      <w:r>
        <w:br/>
      </w:r>
      <w:r>
        <w:rPr>
          <w:rFonts w:ascii="Times New Roman"/>
          <w:b w:val="false"/>
          <w:i w:val="false"/>
          <w:color w:val="000000"/>
          <w:sz w:val="28"/>
        </w:rPr>
        <w:t>
          - перечень предусмотренных законодательными актами и правилами 
требований в отношении фитосанитарного контроля, а также информация об 
обычно применяемых процедурах.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Организация контроля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Договаривающиеся стороны стремятся:
</w:t>
      </w:r>
      <w:r>
        <w:br/>
      </w:r>
      <w:r>
        <w:rPr>
          <w:rFonts w:ascii="Times New Roman"/>
          <w:b w:val="false"/>
          <w:i w:val="false"/>
          <w:color w:val="000000"/>
          <w:sz w:val="28"/>
        </w:rPr>
        <w:t>
          - создавать там, где это необходимо и возможно, соответствующие 
устройства для фитосанитарного контроля, хранения, дезинсекции и 
дезинфекции в соответствии с потребностями перевозок;
</w:t>
      </w:r>
      <w:r>
        <w:br/>
      </w:r>
      <w:r>
        <w:rPr>
          <w:rFonts w:ascii="Times New Roman"/>
          <w:b w:val="false"/>
          <w:i w:val="false"/>
          <w:color w:val="000000"/>
          <w:sz w:val="28"/>
        </w:rPr>
        <w:t>
          - содействовать продвижению грузов, в частности путем координации 
часов работы фитосанитарных и таможенных служб и обеспечения возможности 
производить таможенную очистку скоропортящихся грузов в часы, не     
предусмотренные обычным графиком работы, если извещение об их 
прибытии поступило заблаговременно.
</w:t>
      </w:r>
      <w:r>
        <w:br/>
      </w:r>
      <w:r>
        <w:rPr>
          <w:rFonts w:ascii="Times New Roman"/>
          <w:b w:val="false"/>
          <w:i w:val="false"/>
          <w:color w:val="000000"/>
          <w:sz w:val="28"/>
        </w:rPr>
        <w:t>
          2. Фитосанитарный контроль растений и продуктов растительного 
происхождения может производиться в пунктах, расположенных внутри страны, 
если может быть доказано и если используемые транспортные средства таковы, 
что эти продукты не могут стать источником заражения во время их 
перевозки. 
</w:t>
      </w:r>
      <w:r>
        <w:br/>
      </w:r>
      <w:r>
        <w:rPr>
          <w:rFonts w:ascii="Times New Roman"/>
          <w:b w:val="false"/>
          <w:i w:val="false"/>
          <w:color w:val="000000"/>
          <w:sz w:val="28"/>
        </w:rPr>
        <w:t>
          3. В рамках действующих конвенций Договаривающиеся стороны стремятся 
по возможности сократить физический контроль перевозимых быстропогибающих 
растений и скоропортящихся продуктов растительного происхождения. 
</w:t>
      </w:r>
      <w:r>
        <w:br/>
      </w:r>
      <w:r>
        <w:rPr>
          <w:rFonts w:ascii="Times New Roman"/>
          <w:b w:val="false"/>
          <w:i w:val="false"/>
          <w:color w:val="000000"/>
          <w:sz w:val="28"/>
        </w:rPr>
        <w:t>
          4. В случае, когда грузы необходимо задержать до получения 
результатов фитосанитарного контроля, компетентные контрольные службы 
Договаривающихся сторон принимают меры к тому, чтобы хранение грузов 
осуществлялось при минимуме таможенных формальностей и в условиях, 
обеспечивающих их надежный карантин и сохранность.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Транзитные грузы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рамках действующих конвенций, за исключением случаев, когда такие 
меры необходимы для защиты растений в их странах, Договаривающиеся 
стороны по мере возможности освобождают транзитные грузы от 
фитосанитарного контроля.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Сотрудничество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Фитосанитарные службы осуществляют сотрудничество с 
соответствующими службами других Договаривающихся сторон в целях ускорения 
прохождения растений и растительных продуктов, подлежащих фитосанитарному 
контролю, в частности путем обмена полезной информацией. 
</w:t>
      </w:r>
      <w:r>
        <w:br/>
      </w:r>
      <w:r>
        <w:rPr>
          <w:rFonts w:ascii="Times New Roman"/>
          <w:b w:val="false"/>
          <w:i w:val="false"/>
          <w:color w:val="000000"/>
          <w:sz w:val="28"/>
        </w:rPr>
        <w:t>
          2. В случаях, когда партия растений или продуктов растительного 
</w:t>
      </w:r>
      <w:r>
        <w:rPr>
          <w:rFonts w:ascii="Times New Roman"/>
          <w:b w:val="false"/>
          <w:i w:val="false"/>
          <w:color w:val="000000"/>
          <w:sz w:val="28"/>
        </w:rPr>
        <w:t>
</w:t>
      </w:r>
    </w:p>
    <w:p>
      <w:pPr>
        <w:spacing w:after="0"/>
        <w:ind w:left="0"/>
        <w:jc w:val="left"/>
      </w:pPr>
      <w:r>
        <w:rPr>
          <w:rFonts w:ascii="Times New Roman"/>
          <w:b w:val="false"/>
          <w:i w:val="false"/>
          <w:color w:val="000000"/>
          <w:sz w:val="28"/>
        </w:rPr>
        <w:t>
происхождения задерживается при фитосанитарном контроле, компетентная 
служба принимает меры к тому, чтобы в кратчайший срок уведомить 
соответствующую службу страны-экспортера, указывая причины этого 
задержания и меры, принятые в отношении грузов.
                            Приложение 5 
             Контроль соответствия техническим стандартам
                              Статья 1
                              Принципы
     Контроль соответствия техническим стандартам в отношении грузов, 
предусмотренных в настоящей Конвенции, в каком бы месте он ни 
осуществлялся, производится в соответствии с принципами, определенными в 
настоящей Конвенции и, в частности, в приложении 1 к ней.
                              Статья 2 
                             Информация
     Каждая Договаривающаяся сторона обеспечивает, чтобы любому 
заинтересованному лицу незамедлительно предоставлялась следующая 
информация:
     о стандартах, применяемых ею;
     о местах, в которых грузы могут быть представлены для контроля;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 предусмотренных законодательными актами и правилами требованиях в 
отношении контроля соответствия техническим стандартам, а также об обычно 
применяемых процедурах.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Согласование стандартов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случае отсутствия международных стандартов Договаривающиеся 
стороны, применяющие национальные стандарты, прилагают усилия по их 
согласованию путем заключения международных соглашений.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Организация контроля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Договаривающиеся стороны стремятся:
</w:t>
      </w:r>
      <w:r>
        <w:br/>
      </w:r>
      <w:r>
        <w:rPr>
          <w:rFonts w:ascii="Times New Roman"/>
          <w:b w:val="false"/>
          <w:i w:val="false"/>
          <w:color w:val="000000"/>
          <w:sz w:val="28"/>
        </w:rPr>
        <w:t>
          организовать там, где это необходимо и возможно, пункты контроля 
соответствия техническим стандартам в соответствии с потребностями 
перевозок;
</w:t>
      </w:r>
      <w:r>
        <w:br/>
      </w:r>
      <w:r>
        <w:rPr>
          <w:rFonts w:ascii="Times New Roman"/>
          <w:b w:val="false"/>
          <w:i w:val="false"/>
          <w:color w:val="000000"/>
          <w:sz w:val="28"/>
        </w:rPr>
        <w:t>
          содействовать продвижению грузов, в частности, путем координации 
часов работы служб, ответственных за контроль соответствия техническим 
стандартам, и таможенных служб и обеспечения возможности производить 
таможенную очистку скоропортящихся грузов в часы, не предусмотренные 
обычным графиком работы, если извещение об их прибытии поступило 
заблаговременно.
</w:t>
      </w:r>
      <w:r>
        <w:br/>
      </w:r>
      <w:r>
        <w:rPr>
          <w:rFonts w:ascii="Times New Roman"/>
          <w:b w:val="false"/>
          <w:i w:val="false"/>
          <w:color w:val="000000"/>
          <w:sz w:val="28"/>
        </w:rPr>
        <w:t>
          2. Контроль соответствия техническим стандартам может также 
производиться в пунктах, расположенных внутри страны, если может быть 
доказано и если используемые транспортные средства таковы, что эти грузы, 
и особенно скоропортящиеся грузы, не могут испортиться во время их 
перевозки.
</w:t>
      </w:r>
      <w:r>
        <w:br/>
      </w:r>
      <w:r>
        <w:rPr>
          <w:rFonts w:ascii="Times New Roman"/>
          <w:b w:val="false"/>
          <w:i w:val="false"/>
          <w:color w:val="000000"/>
          <w:sz w:val="28"/>
        </w:rPr>
        <w:t>
          3. В рамках действующих конвенций Договаривающиеся стороны стремятся 
по возможности сократить физический контроль перевозимых скоропортящихся 
грузов, подлежащих контролю соответствия техническим стандартам.
</w:t>
      </w:r>
      <w:r>
        <w:br/>
      </w:r>
      <w:r>
        <w:rPr>
          <w:rFonts w:ascii="Times New Roman"/>
          <w:b w:val="false"/>
          <w:i w:val="false"/>
          <w:color w:val="000000"/>
          <w:sz w:val="28"/>
        </w:rPr>
        <w:t>
          4. Договаривающиеся стороны организуют контроль соответствия 
техническим стандартам, согласовывая всегда, когда это возможно, 
процедуры, применяемые службами, ответственными за эти виды контроля, и 
процедуры, применяемые службами, ответственными за проведение других видов 
контроля и осмотра.
</w:t>
      </w:r>
      <w:r>
        <w:br/>
      </w:r>
      <w:r>
        <w:rPr>
          <w:rFonts w:ascii="Times New Roman"/>
          <w:b w:val="false"/>
          <w:i w:val="false"/>
          <w:color w:val="000000"/>
          <w:sz w:val="28"/>
        </w:rPr>
        <w:t>
          5. В случае, когда скоропортящиеся грузы задерживаются до получения 
результатов контроля соответствия техническим стандартам, компетентные 
контрольные службы Договаривающихся сторон принимают меры к тому, чтобы 
хранение грузов или стоянка транспортных средств осуществлялись при 
минимуме таможенных формальностей и в условиях, обеспечивающих сохранность 
грузов.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Транзитные грузы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Контроль соответствия техническим стандартам обычно не проводится в 
отношении грузов, перевозимых в режиме сквозного транзита.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Сотрудничество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Службы, ответственные за проведение контроля соответствия 
техническим стандартам, осуществляют сотрудничество с соответствующими 
службами других Договаривающихся сторон в целях ускорения прохождения 
скоропортящихся грузов, подлежащих контролю соответствия техническим 
стандартам, в частности, путем обмена полезной информацией.
</w:t>
      </w:r>
      <w:r>
        <w:br/>
      </w:r>
      <w:r>
        <w:rPr>
          <w:rFonts w:ascii="Times New Roman"/>
          <w:b w:val="false"/>
          <w:i w:val="false"/>
          <w:color w:val="000000"/>
          <w:sz w:val="28"/>
        </w:rPr>
        <w:t>
          2. В случаях, когда партия скоропортящихся грузов задерживается при 
</w:t>
      </w:r>
      <w:r>
        <w:rPr>
          <w:rFonts w:ascii="Times New Roman"/>
          <w:b w:val="false"/>
          <w:i w:val="false"/>
          <w:color w:val="000000"/>
          <w:sz w:val="28"/>
        </w:rPr>
        <w:t>
</w:t>
      </w:r>
    </w:p>
    <w:p>
      <w:pPr>
        <w:spacing w:after="0"/>
        <w:ind w:left="0"/>
        <w:jc w:val="left"/>
      </w:pPr>
      <w:r>
        <w:rPr>
          <w:rFonts w:ascii="Times New Roman"/>
          <w:b w:val="false"/>
          <w:i w:val="false"/>
          <w:color w:val="000000"/>
          <w:sz w:val="28"/>
        </w:rPr>
        <w:t>
контроле соответствия техническим стандартам, компетентная служба 
принимает меры к тому, чтобы в кратчайший срок уведомить соответствующую 
службу страны-экспортера, указывая причины этого задержания и меры, 
принятые в отношении грузов.
                            Приложение 6 
                         Контроль качества
                              Статья 1 
                              Принципы
     Контроль качества грузов, предусмотренных в настоящей Конвенции, в 
каком бы месте он ни осуществлялся, производится в соответствии с 
принципами, определенными в настоящей Конвенции, и в частности в 
приложении 1 к ней.
                              Статья 2
                             Информация
     Каждая Договаривающаяся сторона обеспечивает, чтобы любому 
заинтересованному лицу незамедлительно предоставлялась следующая 
информация:
     о местах, где грузы могут быть представлены для контроля;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 предусмотренных законодательными актами и правилами требованиях в 
отношении контроля качества, а также об обычно применяемых процедурах.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Организация контроля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Договаривающиеся стороны стремятся:
</w:t>
      </w:r>
      <w:r>
        <w:br/>
      </w:r>
      <w:r>
        <w:rPr>
          <w:rFonts w:ascii="Times New Roman"/>
          <w:b w:val="false"/>
          <w:i w:val="false"/>
          <w:color w:val="000000"/>
          <w:sz w:val="28"/>
        </w:rPr>
        <w:t>
          организовывать там, где это необходимо и возможно, пункты контроля 
качества в соответствии с потребностями перевозок;
</w:t>
      </w:r>
      <w:r>
        <w:br/>
      </w:r>
      <w:r>
        <w:rPr>
          <w:rFonts w:ascii="Times New Roman"/>
          <w:b w:val="false"/>
          <w:i w:val="false"/>
          <w:color w:val="000000"/>
          <w:sz w:val="28"/>
        </w:rPr>
        <w:t>
          содействовать продвижению грузов, в частности путем координации часов 
работы служб контроля качества и таможенных служб и обеспечения 
возможностей производить таможенную очистку скоропортящихся грузов в часы, 
не предусмотренные обычным графиком работы, если извещение об их прибытии 
поступило заблаговременно.
</w:t>
      </w:r>
      <w:r>
        <w:br/>
      </w:r>
      <w:r>
        <w:rPr>
          <w:rFonts w:ascii="Times New Roman"/>
          <w:b w:val="false"/>
          <w:i w:val="false"/>
          <w:color w:val="000000"/>
          <w:sz w:val="28"/>
        </w:rPr>
        <w:t>
          2. Контроль качества может производиться в пунктах, расположенных 
внутри страны, при условии, что применяемые процедуры содействуют 
международным перевозкам грузов.
</w:t>
      </w:r>
      <w:r>
        <w:br/>
      </w:r>
      <w:r>
        <w:rPr>
          <w:rFonts w:ascii="Times New Roman"/>
          <w:b w:val="false"/>
          <w:i w:val="false"/>
          <w:color w:val="000000"/>
          <w:sz w:val="28"/>
        </w:rPr>
        <w:t>
          3. В рамках действующих конвенций Договаривающиеся стороны стремятся 
по возможности сократить физический контроль перевозимых скоропортящихся 
грузов, подлежащих контролю качества.
</w:t>
      </w:r>
      <w:r>
        <w:br/>
      </w:r>
      <w:r>
        <w:rPr>
          <w:rFonts w:ascii="Times New Roman"/>
          <w:b w:val="false"/>
          <w:i w:val="false"/>
          <w:color w:val="000000"/>
          <w:sz w:val="28"/>
        </w:rPr>
        <w:t>
          4. Договаривающиеся стороны организуют контроль качества, 
согласовывая всегда, когда это возможно, процедуры, применяемые службой, 
ответственной за этот контроль, и процедуры, применяемые службами, 
ответственными за проведение других видов контроля и осмотра.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Транзитные грузы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Контроль качества обычно не осуществляется в отношении грузов, 
перевозимых в режиме сквозного транзита.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Сотрудничество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Службы контроля качества осуществляют сотрудничество с 
соответствующими службами других Договаривающихся сторон в целях ускорения 
прохождения скоропортящихся грузов, подлежащих контролю качества, в 
частности путем обмена полезной информацией. 
</w:t>
      </w:r>
      <w:r>
        <w:br/>
      </w:r>
      <w:r>
        <w:rPr>
          <w:rFonts w:ascii="Times New Roman"/>
          <w:b w:val="false"/>
          <w:i w:val="false"/>
          <w:color w:val="000000"/>
          <w:sz w:val="28"/>
        </w:rPr>
        <w:t>
          2. В случаях, когда партия скоропортящихся грузов задерживается при 
контроле качества, компетентная служба принимает меры к тому, чтобы в 
кратчайший срок уведомить соответствующую службу страны-экспортера, 
указывая причины этого задержания и меры, принятые в отношении грузов.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7
</w:t>
      </w:r>
      <w:r>
        <w:br/>
      </w:r>
      <w:r>
        <w:rPr>
          <w:rFonts w:ascii="Times New Roman"/>
          <w:b w:val="false"/>
          <w:i w:val="false"/>
          <w:color w:val="000000"/>
          <w:sz w:val="28"/>
        </w:rPr>
        <w:t>
                Правила процедуры административного комитета, упомянутые
</w:t>
      </w:r>
      <w:r>
        <w:br/>
      </w:r>
      <w:r>
        <w:rPr>
          <w:rFonts w:ascii="Times New Roman"/>
          <w:b w:val="false"/>
          <w:i w:val="false"/>
          <w:color w:val="000000"/>
          <w:sz w:val="28"/>
        </w:rPr>
        <w:t>
                                      в статье 22 настоящей Конвенции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Члены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Членами Административного комитета являются Договаривающиеся стороны 
настоящей Конвенции.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Наблюдатели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Административный комитет может принять решение пригласить 
компетентные администрации всех государств, не являющихся 
Договаривающимися сторонами, или представителей международных организаций, 
которые не являются Договаривающимися сторонами, присутствовать на сессиях 
Комитета в качестве наблюдателей при обсуждении интересующих их вопросов.
</w:t>
      </w:r>
      <w:r>
        <w:br/>
      </w:r>
      <w:r>
        <w:rPr>
          <w:rFonts w:ascii="Times New Roman"/>
          <w:b w:val="false"/>
          <w:i w:val="false"/>
          <w:color w:val="000000"/>
          <w:sz w:val="28"/>
        </w:rPr>
        <w:t>
          2. Тем не менее без ущерба для положений статьи 1 компетентные 
</w:t>
      </w:r>
      <w:r>
        <w:rPr>
          <w:rFonts w:ascii="Times New Roman"/>
          <w:b w:val="false"/>
          <w:i w:val="false"/>
          <w:color w:val="000000"/>
          <w:sz w:val="28"/>
        </w:rPr>
        <w:t>
</w:t>
      </w:r>
    </w:p>
    <w:p>
      <w:pPr>
        <w:spacing w:after="0"/>
        <w:ind w:left="0"/>
        <w:jc w:val="left"/>
      </w:pPr>
      <w:r>
        <w:rPr>
          <w:rFonts w:ascii="Times New Roman"/>
          <w:b w:val="false"/>
          <w:i w:val="false"/>
          <w:color w:val="000000"/>
          <w:sz w:val="28"/>
        </w:rPr>
        <w:t>
международные организации, упомянутые в пункте 1, имеют право участвовать 
в работе Административного комитета в качестве наблюдателей при 
рассмотрении вопросов, регулируемых приложениями к настоящей Конвенции.
                              Статья 3                 
                            Секретариат
     Персонал секретариата Комитета выделяется Исполнительным секретарем 
Экономической комиссии для Европы.
                              Статья 4
                               Созыв
     Исполнительный секретарь Экономической комиссии для Европы созывает 
Комитет:
     i) спустя два года после вступления Конвенции в силу;
     ii) затем - в сроки, установленные Комитетом, но не реже одного раза 
в пять лет;
     iii) по просьбе компетентных органов по меньшей мере пяти государств, 
которые являются Договаривающимися сторонами.
                              Статья 5
                         Должностные лица
     На каждой сессии Комитет избирает председателя и заместителя 
председателя.
                              Статья 6
                               Кворум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Для принятия решений необходим кворум, составляющий не менее одной 
трети государств, являющихся Договаривающимися сторонами.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Принятие решений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Предложения ставятся на голосование. 
</w:t>
      </w:r>
      <w:r>
        <w:br/>
      </w:r>
      <w:r>
        <w:rPr>
          <w:rFonts w:ascii="Times New Roman"/>
          <w:b w:val="false"/>
          <w:i w:val="false"/>
          <w:color w:val="000000"/>
          <w:sz w:val="28"/>
        </w:rPr>
        <w:t>
          ii) Каждое являющееся Договаривающейся стороной государство, 
представленное на сессии, имеет один голос.
</w:t>
      </w:r>
      <w:r>
        <w:br/>
      </w:r>
      <w:r>
        <w:rPr>
          <w:rFonts w:ascii="Times New Roman"/>
          <w:b w:val="false"/>
          <w:i w:val="false"/>
          <w:color w:val="000000"/>
          <w:sz w:val="28"/>
        </w:rPr>
        <w:t>
          iii) В случае применения пункта 2 статьи 16 Конвенции региональные 
организации в области экономической интеграции, являющиеся участниками 
настоящей Конвенции, при голосовании располагают лишь числом голосов, 
равным общему числу голосов их государств-членов, являющихся также 
участниками настоящей Конвенции. В этом последнем случае государства-члены 
не осуществляют своего права голоса.
</w:t>
      </w:r>
      <w:r>
        <w:br/>
      </w:r>
      <w:r>
        <w:rPr>
          <w:rFonts w:ascii="Times New Roman"/>
          <w:b w:val="false"/>
          <w:i w:val="false"/>
          <w:color w:val="000000"/>
          <w:sz w:val="28"/>
        </w:rPr>
        <w:t>
          iv) С учетом положений, содержащихся в подпункте v) ниже, предложения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принимаются простым большинством голосов присутствующих и участвующих в 
голосовании членов в соответствии с условиями, определенными в подпунктах 
ii) и iii) выше.
     v) Поправки к настоящей Конвенции принимаются большинством в две 
трети голосов присутствующих и участвующих в голосовании членов в 
соответствии с условиями, определенными в подпунктах ii) и iii) выше.
                              Статья 8
                               Доклад 
     Перед закрытием сессии Комитет утверждает свой доклад.
                              Статья 9
                       Дополняющие положения   
     При отсутствии в настоящем приложении надлежащих положений 
применяются правила процедуры Экономической комиссии для Европы, если 
Комитет не примет иного решения.      
(Специалисты: Склярова И.В.,
              Абрамова Т.М.)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