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40c6" w14:textId="7cd4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2005 года N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161-1. Отказ в принятии платежей с использованием платежных карточек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платежей с использованием платежных карточек торговыми (обслуживающими) организациями, обязанными принимать их при осуществлении торговых операций (оказании услуг),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двадцати до пятидесяти и на юридических лиц -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К торговым (обслуживающим) организациям, указанным в настоящей статье, относятся индивидуальные предприниматели и юридические лица, категории которых утверждаются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354-2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354-2. Нарушение порядка последующего официального опубликования текстов нормативных правовых актов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установленного законодательством Республики Казахстан порядка последующего официального опубликования текстов нормативных правовых актов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двадцати до тридцати и на юридических лиц - в размере от пятидесяти до ста месячных расчетных показателей с конфискацией тиража продукции либо без таковой.";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на физических лиц в размере до двадцати, на индивидуальных предпринимателей - в размере от тридцати до пятидесяти, на юридических лиц - в размере от пятидесяти до ста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четвертую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539 </w:t>
      </w:r>
      <w:r>
        <w:rPr>
          <w:rFonts w:ascii="Times New Roman"/>
          <w:b w:val="false"/>
          <w:i w:val="false"/>
          <w:color w:val="000000"/>
          <w:sz w:val="28"/>
        </w:rPr>
        <w:t>
 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568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568. Органы государственного архитектурно-строительного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государственного архитектурно-строительного контроля рассматривают дела об административных правонарушениях, предусмотренных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139 </w:t>
      </w:r>
      <w:r>
        <w:rPr>
          <w:rFonts w:ascii="Times New Roman"/>
          <w:b w:val="false"/>
          <w:i w:val="false"/>
          <w:color w:val="000000"/>
          <w:sz w:val="28"/>
        </w:rPr>
        <w:t>
(частью первой),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231 </w:t>
      </w:r>
      <w:r>
        <w:rPr>
          <w:rFonts w:ascii="Times New Roman"/>
          <w:b w:val="false"/>
          <w:i w:val="false"/>
          <w:color w:val="000000"/>
          <w:sz w:val="28"/>
        </w:rPr>
        <w:t>
(частью первой),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235 </w:t>
      </w:r>
      <w:r>
        <w:rPr>
          <w:rFonts w:ascii="Times New Roman"/>
          <w:b w:val="false"/>
          <w:i w:val="false"/>
          <w:color w:val="000000"/>
          <w:sz w:val="28"/>
        </w:rPr>
        <w:t>
(частью первой),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278 </w:t>
      </w:r>
      <w:r>
        <w:rPr>
          <w:rFonts w:ascii="Times New Roman"/>
          <w:b w:val="false"/>
          <w:i w:val="false"/>
          <w:color w:val="000000"/>
          <w:sz w:val="28"/>
        </w:rPr>
        <w:t>
(частью второй),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291,387,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499 </w:t>
      </w:r>
      <w:r>
        <w:rPr>
          <w:rFonts w:ascii="Times New Roman"/>
          <w:b w:val="false"/>
          <w:i w:val="false"/>
          <w:color w:val="000000"/>
          <w:sz w:val="28"/>
        </w:rPr>
        <w:t>
 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руководители органов государственного архитектурно-строительного контроля и их заместители.";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570-1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"161 (частью первой)" дополнить цифрами ", 161-1";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"166" дополнить цифрами ", 169-1";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2) части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 </w:t>
      </w:r>
      <w:r>
        <w:rPr>
          <w:rFonts w:ascii="Times New Roman"/>
          <w:b w:val="false"/>
          <w:i w:val="false"/>
          <w:color w:val="000000"/>
          <w:sz w:val="28"/>
        </w:rPr>
        <w:t>
 после слов "финансового контроля" дополнить словами "и государственных закупок";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571-1 </w:t>
      </w:r>
      <w:r>
        <w:rPr>
          <w:rFonts w:ascii="Times New Roman"/>
          <w:b w:val="false"/>
          <w:i w:val="false"/>
          <w:color w:val="000000"/>
          <w:sz w:val="28"/>
        </w:rPr>
        <w:t>
 дополнить словами ", руководители территориальных подразделений";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630 </w:t>
      </w:r>
      <w:r>
        <w:rPr>
          <w:rFonts w:ascii="Times New Roman"/>
          <w:b w:val="false"/>
          <w:i w:val="false"/>
          <w:color w:val="000000"/>
          <w:sz w:val="28"/>
        </w:rPr>
        <w:t>
 цифры "467-471" заменить словами "467-469, 470 (части первая и вторая), 471";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подпункте 1)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слова "139 (часть вторая),"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"органов государственной архитектурно-строительной инспекции" заменить словами "органов государственного архитектурно-строительного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после цифр "154-157" дополнить цифрами ", 168-1";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девятый после цифр "354" дополнить цифрами ", 354-2";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седьмом цифры "139,"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