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db8e4" w14:textId="63db8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Конвенции об оперативном оповещении о ядерной аварии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 февраля 2010 года № 243-IV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 Конвенцию об оперативном оповещении о ядерной аварии, принятую в Вене 26 сентября 1986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             Н. НАЗАРБАЕВ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КОНВЕНЦИЯ ОБ ОПЕРАТИВНОМ ОПОВЕЩЕНИИ О ЯДЕРНОЙ АВАРИИ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(Бюллетень международных договоров РК, 2010 г., N 5, ст. 30)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(Вступила в силу 9 апреля 2010 года)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НАСТОЯЩЕЙ КОНВЕНЦИИ,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СОЗНАВАЯ, что ядерная деятельность осуществляется в ряде государств,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ОТМЕЧАЯ, что для обеспечения высокого уровня безопасности при осуществлении ядерной деятельности принимались и принимаются всесторонние меры, направленные на предотвращение ядерных аварий и сведение к минимуму последствий любой такой аварии, если она произойдет,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ВЫРАЖАЯ ЖЕЛАНИЕ укреплять далее международное сотрудничество в области безопасного развития и использования ядерной энергии,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БУДУЧИ УБЕЖДЕНЫ в необходимости возможно более оперативного предоставления государствами соответствующей информации о ядерных авариях с целью сведения к минимуму трансграничных радиационных последствий,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ОТМЕЧАЯ полезность двусторонних и многосторонних договоренностей об обмене информацией в этой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  <w:r>
        <w:br/>
      </w:r>
      <w:r>
        <w:rPr>
          <w:rFonts w:ascii="Times New Roman"/>
          <w:b/>
          <w:i w:val="false"/>
          <w:color w:val="000000"/>
        </w:rPr>
        <w:t>
Сфера применения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Конвенция применяется в случае любой аварии, связанной с укaзанными в пункте 2 ниже установками или деятельностью государства-участника, или лиц или юридических субъектов под его юрисдикцией или контролем, вследствие которой происходит или может произойти выброс радиоактивных веществ и которая привела или может привести к международному трансграничному выбросу, что могло бы иметь с точки зрения радиационной безопасности значение для другого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Установками и деятельностью, указанными в пункте 1,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a) любой ядерный реактор независимо от местонахождения;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b) любая установка ядерного топливного цикла;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c) любая установка по обращению с радиоактивными отходами;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d) перевозка и хранение ядерного топлива или радиоактивных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e) изготовление, использование, хранение, удаление и перевозка радиоизотопов для сельскохозяйственных, промышленных, медицинских целей и для проведения научных исследований в этих областях;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f) использование радиоизотопов для выработки энергии в космических объектах.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  <w:r>
        <w:br/>
      </w:r>
      <w:r>
        <w:rPr>
          <w:rFonts w:ascii="Times New Roman"/>
          <w:b/>
          <w:i w:val="false"/>
          <w:color w:val="000000"/>
        </w:rPr>
        <w:t>
Оповещение и информация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аварии, указанной в статье 1, (в дальнейшем именуемой "ядерная авария") государство-участник, о котором говорится в той же статье: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незамедлительно оповещает, непосредственно или через Международное агентство по атомной энергии (в дальнейшем именуемое "Агентство"), те государства, которые подверглись или могут подвергнуться физическому воздействию, как указано в статье 1, а также Агентство о ядерной аварии, ее характере, времени, когда она произошла, и ее точном месте, когда это целесообразно;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b) безотлагательно предоставляет государствам, о которых говорится в подпункте (а), непосредственно или через Агентство, а также Агентству такую имеющуюся информацию, относящуюся к сведению к минимуму радиационных последствий в этих государствах, как указано в статье 5.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  <w:r>
        <w:br/>
      </w:r>
      <w:r>
        <w:rPr>
          <w:rFonts w:ascii="Times New Roman"/>
          <w:b/>
          <w:i w:val="false"/>
          <w:color w:val="000000"/>
        </w:rPr>
        <w:t>
Другие ядерные аварии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сведения к минимуму радиационных последствий государства-участники могут осуществлять оповещение в случае ядерных аварий, иных чем указанные в статье 1.</w:t>
      </w:r>
    </w:p>
    <w:bookmarkEnd w:id="8"/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  <w:r>
        <w:br/>
      </w:r>
      <w:r>
        <w:rPr>
          <w:rFonts w:ascii="Times New Roman"/>
          <w:b/>
          <w:i w:val="false"/>
          <w:color w:val="000000"/>
        </w:rPr>
        <w:t>
Функции Агентства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незамедлительно сообщает государствам-участникам, государствам-членам, а также другим государствам, которые подверглись или могут подвергнуться физическому воздействию, как указано в статье 1, и соответствующим международным межправительственным организациям (в дальнейшем именуемым "международные организации") об оповещении, полученном в соответствии с подпунктом (а) статьи 2;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b) по запросу безотлагательно предоставляет любому государству-участнику, государству-члену или соответствующей международной организации информацию, полученную в соответствии с подпунктом (b) статьи 2.</w:t>
      </w:r>
    </w:p>
    <w:bookmarkEnd w:id="10"/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  <w:r>
        <w:br/>
      </w:r>
      <w:r>
        <w:rPr>
          <w:rFonts w:ascii="Times New Roman"/>
          <w:b/>
          <w:i w:val="false"/>
          <w:color w:val="000000"/>
        </w:rPr>
        <w:t>
Предоставляемая информация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Информация, предоставляемая в соответствии с подпунктом (b) статьи 2, включает следующие данные, которыми на тот момент располагает оповещающее государство-участник: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a) время, точное место, когда это целесообразно, и характер ядерной аварии;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b) соответствующие установка или вид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c) предполагаемая или установленная причина и предвидимое развитие ядерной аварии, относящиеся к трансграничному выбросу радиоактивных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d) общие характеристики радиоактивного выброса, включая, насколько это практически возможно и целесообразно, характер, вероятные физическую и химическую форму, а также количество, состав и эффективную высоту радиоактивного выброса;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e) сведения о существующих и прогнозируемых метеорологических и гидрологических условиях, необходимые для прогнозирования трансграничного выброса радиоактивных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f) результаты мониторинга окружающей среды, относящиеся к трансграничному выбросу радиоактивных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g) принятые или планируемые защитные меры вне площадки;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h) предсказуемое поведение во времени радиоактивного выброса.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Такая информация дополняется через необходимые промежутки времени дальнейшей соответствующей информацией о развитии аварийной ситуации, включая ее предвидимое или действительное прекращение.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Информация, полученная в соответствии с подпунктом (b) статьи 2, может использоваться без ограничения, за исключением тех случаев, когда такая информация предоставляется оповещающим государством-участником в конфиденциальном порядке.</w:t>
      </w:r>
    </w:p>
    <w:bookmarkEnd w:id="12"/>
    <w:bookmarkStart w:name="z4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  <w:r>
        <w:br/>
      </w:r>
      <w:r>
        <w:rPr>
          <w:rFonts w:ascii="Times New Roman"/>
          <w:b/>
          <w:i w:val="false"/>
          <w:color w:val="000000"/>
        </w:rPr>
        <w:t>
Консультации</w:t>
      </w:r>
    </w:p>
    <w:bookmarkEnd w:id="13"/>
    <w:bookmarkStart w:name="z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Государство-участник, предоставляющее информацию в соответствии с подпунктом (b) статьи 2, насколько это практически осуществимо, безотлагательно отвечает на запрос относительно дальнейшей информации или консультаций, которые запрашиваются подвергшимся воздействию государством-участником в целях сведения к минимуму радиационных последствий в запрашивающем государстве.</w:t>
      </w:r>
    </w:p>
    <w:bookmarkEnd w:id="14"/>
    <w:bookmarkStart w:name="z4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  <w:r>
        <w:br/>
      </w:r>
      <w:r>
        <w:rPr>
          <w:rFonts w:ascii="Times New Roman"/>
          <w:b/>
          <w:i w:val="false"/>
          <w:color w:val="000000"/>
        </w:rPr>
        <w:t>
Компетентные органы и пункты связи</w:t>
      </w:r>
    </w:p>
    <w:bookmarkEnd w:id="15"/>
    <w:bookmarkStart w:name="z4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Каждое государство-участник ставит в известность Агентство и, непосредственно или через Агентство, другие государства-участники о своих компетентных органах и пункте связи, ответственных за направление и получение оповещений и информации, указанных в статье 2. К таким пунктам связи и центральному пункту в Агентстве должен иметься доступ на постоянной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Каждое государство-участник безотлагательно информирует Агентство о любых изменениях, которые могут произойти в информации, указанной в пункте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Агентство ведет обновляемый список таких национальных органов и пунктов связи, а также пунктов связи соответствующих международных организаций и предоставляет его государствам-участникам и государствам-членам и соответствующим международным организациям.</w:t>
      </w:r>
    </w:p>
    <w:bookmarkEnd w:id="16"/>
    <w:bookmarkStart w:name="z4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  <w:r>
        <w:br/>
      </w:r>
      <w:r>
        <w:rPr>
          <w:rFonts w:ascii="Times New Roman"/>
          <w:b/>
          <w:i w:val="false"/>
          <w:color w:val="000000"/>
        </w:rPr>
        <w:t>
Помощь государствам-участникам</w:t>
      </w:r>
    </w:p>
    <w:bookmarkEnd w:id="17"/>
    <w:bookmarkStart w:name="z4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 в соответствии со своим Уставом и по запросу государства-участника, которое само не осуществляет ядерной деятельности и граничит с государством, осуществляющим активную программу, но не являющимся участником, проводит исследования возможности и целесообразности создания надлежащей системы радиационного контроля, с тем чтобы содействовать достижению целей настоящей Конвенции.</w:t>
      </w:r>
    </w:p>
    <w:bookmarkEnd w:id="18"/>
    <w:bookmarkStart w:name="z4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  <w:r>
        <w:br/>
      </w:r>
      <w:r>
        <w:rPr>
          <w:rFonts w:ascii="Times New Roman"/>
          <w:b/>
          <w:i w:val="false"/>
          <w:color w:val="000000"/>
        </w:rPr>
        <w:t>
Двусторонние и многосторонние договоренности</w:t>
      </w:r>
    </w:p>
    <w:bookmarkEnd w:id="19"/>
    <w:bookmarkStart w:name="z5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осуществления своих взаимных интересов государства-участники могут рассмотреть в случаях, когда это представляется целесообразным, вопрос о заключении двусторонних или многосторонних договоренностей, относящихся к предмету настоящей Конвенции.</w:t>
      </w:r>
    </w:p>
    <w:bookmarkEnd w:id="20"/>
    <w:bookmarkStart w:name="z5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  <w:r>
        <w:br/>
      </w:r>
      <w:r>
        <w:rPr>
          <w:rFonts w:ascii="Times New Roman"/>
          <w:b/>
          <w:i w:val="false"/>
          <w:color w:val="000000"/>
        </w:rPr>
        <w:t>
Связь с другими международными соглашениями</w:t>
      </w:r>
    </w:p>
    <w:bookmarkEnd w:id="21"/>
    <w:bookmarkStart w:name="z5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конвенция не затрагивает взаимных прав и обязательств государств-участников по существующим международным соглашениям, относящимся к вопросам, охватываемым настоящей Конвенцией, или по будущим международным соглашениям, заключенным в соответствии с предметом и целью настоящей Конвенции.</w:t>
      </w:r>
    </w:p>
    <w:bookmarkEnd w:id="22"/>
    <w:bookmarkStart w:name="z5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  <w:r>
        <w:br/>
      </w:r>
      <w:r>
        <w:rPr>
          <w:rFonts w:ascii="Times New Roman"/>
          <w:b/>
          <w:i w:val="false"/>
          <w:color w:val="000000"/>
        </w:rPr>
        <w:t>
Урегулирование cпоров</w:t>
      </w:r>
    </w:p>
    <w:bookmarkEnd w:id="23"/>
    <w:bookmarkStart w:name="z5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 возникновения спора между государствами-участниками  или между государством-участником и Агентством относительно толкования или применения настоящей Конвенции стороны в споре проводят взаимные консультации в целях урегулирования спора путем переговоров или любыми другими мирными способами урегулирования споров, приемлемыми для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Если спор подобного характера между государствами-участниками не может быть урегулирован в течение одного года с момента поступления просьбы о проведении консультаций в соответствии с пунктом 1, то по просьбе любой стороны, участвующей в таком споре, он передается в арбитраж или направляется в Международный Суд для принятия решения. В случае передачи спора в арбитраж, если в течение шести месяцев с момента поступления просьбы стороны в споре не могут прийти к согласию относительно организации арбитражного разбирательства, одна из сторон может просить Председателя Международного Суда или Генерального секретаря Организации Объединенных Наций назначить одного арбитра или более. В случае противоречивых просьб сторон, участвующих в споре, обращение к Генеральному секретарю Организации Объединенных Наций имеет приоритет.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подписании, ратификации, принятии, одобрении настоящей Конвенции или присоединении к ней государство может заявить, что оно не считает себя связанным либо одной, либо обеими процедурами урегулирования спора, предусмотренными в пункте 2. Другие государства-участники не являются связанными какой-либо процедурой урегулирования спора, предусмотренной в пункте 2, в том, что касается государства-участника, для которого такое заявление имеет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Государство-участник, сделавшее заявление в соответствии с пунктом 3, может в любое время снять это заявление путем уведомления об этом депозитария.</w:t>
      </w:r>
    </w:p>
    <w:bookmarkEnd w:id="24"/>
    <w:bookmarkStart w:name="z5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  <w:r>
        <w:br/>
      </w:r>
      <w:r>
        <w:rPr>
          <w:rFonts w:ascii="Times New Roman"/>
          <w:b/>
          <w:i w:val="false"/>
          <w:color w:val="000000"/>
        </w:rPr>
        <w:t>
Вступление в силу</w:t>
      </w:r>
    </w:p>
    <w:bookmarkEnd w:id="25"/>
    <w:bookmarkStart w:name="z5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Конвенция будет открыта для подписания всеми государствами, а также Намибией, представленной Советом Организации Объединенных Наций по Намибии, в Центральных учреждениях Международного агентства по атомной энергии в Вене и в Центральных учреждениях Организации Объединенных Наций в Нью-Йорке соответственно с 26 сентября 1986 года и 6 октября 1986 года до ее вступления в силу или в течение двенадцати месяцев в зависимости от того, какой из сроков окажется более длительный.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Государство, а также Намибия, представленная Советом Организации Объединенных Наций по Намибии, может выразить свое согласие на обязательность для него настоящей Конвенции путем подписания или путем сдачи на хранение документа о ратификации, принятии или одобрении после подписания под условием ратификации, принятия или одобрения, или путем сдачи на хранение документа о присоединении. Документы о ратификации, принятии, одобрении или присоединении сдаются на хранение депозитарию.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Настоящая конвенция вступает в силу через тридцать дней после выражения тремя государствами согласия на обязательность для них настоящей Конвенции.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каждого государства, выразившего согласие на обязательность для него настоящей Конвенции после ее вступления в силу, настоящая Конвенция вступает в силу для этого государства через тридцать дней после даты выражения согласия.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а) Настоящая Конвенция открыта для присоединения, как это предусмотрено в настоящей статье, международных организаций и организаций региональной интеграции, состоящих из суверенных государств и обладающих компетенцией в области ведения переговоров, заключения и применения международных соглашений по вопросам, охватываемым настоящей Конвенцией.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b) В вопросах, входящих в их компетенцию, такие организации от своего собственного имени осуществляют права и выполняют обязательства, которыми настоящая Конвенция наделяет государства-участники.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c) При сдаче на хранение своего документа о присоединении такая организация направляет депозитарию заявление, в котором указываются пределы ее компетенции в отношении вопросов, охватываемых настоящей Конвенцией.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d) Такая организация не располагает каким-либо голосом в дополнение к голосам ее государств-членов.</w:t>
      </w:r>
    </w:p>
    <w:bookmarkEnd w:id="26"/>
    <w:bookmarkStart w:name="z6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  <w:r>
        <w:br/>
      </w:r>
      <w:r>
        <w:rPr>
          <w:rFonts w:ascii="Times New Roman"/>
          <w:b/>
          <w:i w:val="false"/>
          <w:color w:val="000000"/>
        </w:rPr>
        <w:t>
Временное применение</w:t>
      </w:r>
    </w:p>
    <w:bookmarkEnd w:id="27"/>
    <w:bookmarkStart w:name="z6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по подписании или в любое время позднее, до того как настоящая Конвенция вступит в силу для него, может объявить, что оно будет применять настоящую Конвенцию на временной основе.</w:t>
      </w:r>
    </w:p>
    <w:bookmarkEnd w:id="28"/>
    <w:bookmarkStart w:name="z6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  <w:r>
        <w:br/>
      </w:r>
      <w:r>
        <w:rPr>
          <w:rFonts w:ascii="Times New Roman"/>
          <w:b/>
          <w:i w:val="false"/>
          <w:color w:val="000000"/>
        </w:rPr>
        <w:t>
Поправки</w:t>
      </w:r>
    </w:p>
    <w:bookmarkEnd w:id="29"/>
    <w:bookmarkStart w:name="z7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Государство-участник может предложить поправки к настоящей Конвенции. Предложенная поправка направляется депозитарию, который незамедлительно рассылает ее всем другим государствам-участникам.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Если большинство государств-участников требует от депозитария созыва конференции для рассмотрения предложенных поправок, то депозитарий приглашает все государства-участники на такую конференцию, которая открывается не ранее чем через тридцать дней после направления приглашений. Любая поправка, принятая на конференции большинством в две трети голосов всех государств-участников, оформляется в виде протокола, открытого для подписания в Вене и Нью-Йорке всеми государствами-участниками.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Протокол вступает в силу через тридцать дней после выражения тремя государствами согласия на его обязательность для них. Для каждого государства, выразившего согласие на обязательность для него протокола после его вступления в силу, протокол вступает в силу для этого государства через тридцать дней после даты выражения согласия.</w:t>
      </w:r>
    </w:p>
    <w:bookmarkEnd w:id="30"/>
    <w:bookmarkStart w:name="z7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  <w:r>
        <w:br/>
      </w:r>
      <w:r>
        <w:rPr>
          <w:rFonts w:ascii="Times New Roman"/>
          <w:b/>
          <w:i w:val="false"/>
          <w:color w:val="000000"/>
        </w:rPr>
        <w:t>
Денонсация</w:t>
      </w:r>
    </w:p>
    <w:bookmarkEnd w:id="31"/>
    <w:bookmarkStart w:name="z7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Государство-участник может денонсировать настоящую Конвенцию посредством письменного уведомления депозитария.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Денонсация вступает в силу через год после даты получения депозитарием уведомления.</w:t>
      </w:r>
    </w:p>
    <w:bookmarkEnd w:id="32"/>
    <w:bookmarkStart w:name="z7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</w:t>
      </w:r>
      <w:r>
        <w:br/>
      </w:r>
      <w:r>
        <w:rPr>
          <w:rFonts w:ascii="Times New Roman"/>
          <w:b/>
          <w:i w:val="false"/>
          <w:color w:val="000000"/>
        </w:rPr>
        <w:t>
Депозитарий</w:t>
      </w:r>
    </w:p>
    <w:bookmarkEnd w:id="33"/>
    <w:bookmarkStart w:name="z7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Генеральный директор Агентства является депозитарием настоящей Конвенции.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Генеральный директор Агентства незамедлительно уведомляет государства-участники и все другие государства: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о каждом подписании настоящей Конвенции или любого протокола о поправке;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b) о каждой сдаче на хранение документа о ратификации, принятии, одобрении или присоединении, касающегося настоящей Конвенции или любого протокола о поправке;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c) о любом заявлении или снятии такого заявления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d) о любом заявлении о применении настоящей Конвенции на временной основе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е) о вступлении в силу настоящей Конвенции и любой поправки к ней;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f) о любой денонсации, объявленной в соответствии со статьей 15.</w:t>
      </w:r>
    </w:p>
    <w:bookmarkEnd w:id="34"/>
    <w:bookmarkStart w:name="z8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</w:t>
      </w:r>
      <w:r>
        <w:br/>
      </w:r>
      <w:r>
        <w:rPr>
          <w:rFonts w:ascii="Times New Roman"/>
          <w:b/>
          <w:i w:val="false"/>
          <w:color w:val="000000"/>
        </w:rPr>
        <w:t>
Аутентичные тексты и заверенные копии</w:t>
      </w:r>
    </w:p>
    <w:bookmarkEnd w:id="35"/>
    <w:bookmarkStart w:name="z8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Подлинник настоящей Конвенции, английский, арабский, испанский, китайский, русский и французский тексты которого являются равно аутентичными, сдается на хранение Генеральному директору Международного агентства по атомной энергии, который направляет заверенные копии государствам-участникам и всем другим государствам.</w:t>
      </w:r>
    </w:p>
    <w:bookmarkEnd w:id="36"/>
    <w:bookmarkStart w:name="z8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УДОСТОВЕРЕНИЕ ЧЕГО нижеподписавшиеся, должным образом уполномоченные, подписали настоящую Конвенцию, открытую для подписания, как предусмотрено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12.</w:t>
      </w:r>
    </w:p>
    <w:bookmarkEnd w:id="37"/>
    <w:bookmarkStart w:name="z8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 генеральной конференцией Международного агентства по атомной энергии на специальной сессии в Вене двадцать шестого дня сентября месяца одна тысяча девятьсот восемьдесят шестого года.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РЦПИ. Далее следует текст Конвенции на английском, арабском, испанском, китайском, русском и французском языках.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