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78da" w14:textId="0727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представлении и об обмене предварительной информацией о товарах и транспортных средствах, перемещаемых через таможенную границу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323-IV.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представлении и об обмене предварительной информацией о товарах и транспортных средствах, перемещаемых через таможенную границу таможенного союза, совершенное в Санкт-Петербурге 21 мая 2010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представлении и об обмене предварительной информацией о</w:t>
      </w:r>
      <w:r>
        <w:br/>
      </w:r>
      <w:r>
        <w:rPr>
          <w:rFonts w:ascii="Times New Roman"/>
          <w:b/>
          <w:i w:val="false"/>
          <w:color w:val="000000"/>
        </w:rPr>
        <w:t>товарах и транспортных средствах, перемещаемых через таможенную</w:t>
      </w:r>
      <w:r>
        <w:br/>
      </w:r>
      <w:r>
        <w:rPr>
          <w:rFonts w:ascii="Times New Roman"/>
          <w:b/>
          <w:i w:val="false"/>
          <w:color w:val="000000"/>
        </w:rPr>
        <w:t>границу таможенного союза (Вступило в силу 24 января 2011 года - Бюллетень международных договоров 2012 г., № 4, ст. 42)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Соглашение прекратило действие в связи с вступлением в силу Договора о Таможенном кодексе Евразийского экономического союза, ратифицированного Законом РК от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