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519e" w14:textId="efd5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особенностях использования транспортных средств международной перевозки, осуществляющих перевозку пассажиров, а также прицепов, полуприцепов, контейнеров и железнодорожного подвижного состава, осуществляющих перевозку грузов и (или) багажа для внутренней перевозки по таможенной территории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324-IV.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об особенностях использования транспортных средств международной перевозки, осуществляющих перевозку пассажиров, а также прицепов, полуприцепов, контейнеров и железнодорожного подвижного состава, осуществляющих перевозку грузов и (или) багажа для внутренней перевозки по таможенной территории таможенного союза, совершенное в Санкт-Петербурге 18 июня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особенностях использования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международной перевозки, осуществляющих перевозку пассажиров, а</w:t>
      </w:r>
      <w:r>
        <w:br/>
      </w:r>
      <w:r>
        <w:rPr>
          <w:rFonts w:ascii="Times New Roman"/>
          <w:b/>
          <w:i w:val="false"/>
          <w:color w:val="000000"/>
        </w:rPr>
        <w:t>также прицепов, полуприцепов, контейнеров и железнодорожного</w:t>
      </w:r>
      <w:r>
        <w:br/>
      </w:r>
      <w:r>
        <w:rPr>
          <w:rFonts w:ascii="Times New Roman"/>
          <w:b/>
          <w:i w:val="false"/>
          <w:color w:val="000000"/>
        </w:rPr>
        <w:t>подвижного состава, осуществляющих перевозку грузов и (или)</w:t>
      </w:r>
      <w:r>
        <w:br/>
      </w:r>
      <w:r>
        <w:rPr>
          <w:rFonts w:ascii="Times New Roman"/>
          <w:b/>
          <w:i w:val="false"/>
          <w:color w:val="000000"/>
        </w:rPr>
        <w:t>багажа для внутренней перевозки по таможенной территории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