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094f" w14:textId="c030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порядке перемещения физическими лицами наличных денежных средств и (или) денежных инструментов через таможенную границу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января 2011 года № 389-IV.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о порядке перемещения физическими лицами наличных денежных средств и (или) денежных инструментов через таможенную границу таможенного союза, совершенный в Астане 5 июля 2010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о порядке перемещения физическими лицами</w:t>
      </w:r>
      <w:r>
        <w:br/>
      </w:r>
      <w:r>
        <w:rPr>
          <w:rFonts w:ascii="Times New Roman"/>
          <w:b/>
          <w:i w:val="false"/>
          <w:color w:val="000000"/>
        </w:rPr>
        <w:t>наличных денежных средств и (или) денежных инструментов</w:t>
      </w:r>
      <w:r>
        <w:br/>
      </w:r>
      <w:r>
        <w:rPr>
          <w:rFonts w:ascii="Times New Roman"/>
          <w:b/>
          <w:i w:val="false"/>
          <w:color w:val="000000"/>
        </w:rPr>
        <w:t>через таможенную границу таможенного союза (Вступил в силу 3 июня 2011 года - Бюллетень международных договоров 2012 г., № 4, ст. 51)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Договор прекратил действие в связи с вступлением в силу Договора о Таможенном кодексе Евразийского экономического союза, ратифицированного Законом РК от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