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c5aa" w14:textId="d2fc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2011 года № 460-IV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странам, совершенный в Санкт-Петербурге 19 ноября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порядке предоставления органу, проводящему расследования,</w:t>
      </w:r>
      <w:r>
        <w:br/>
      </w:r>
      <w:r>
        <w:rPr>
          <w:rFonts w:ascii="Times New Roman"/>
          <w:b/>
          <w:i w:val="false"/>
          <w:color w:val="000000"/>
        </w:rPr>
        <w:t>
сведений, содержащих в том числе конфиденциальную информацию,</w:t>
      </w:r>
      <w:r>
        <w:br/>
      </w:r>
      <w:r>
        <w:rPr>
          <w:rFonts w:ascii="Times New Roman"/>
          <w:b/>
          <w:i w:val="false"/>
          <w:color w:val="000000"/>
        </w:rPr>
        <w:t>
для целей расследований, предшествующих введению специальных</w:t>
      </w:r>
      <w:r>
        <w:br/>
      </w:r>
      <w:r>
        <w:rPr>
          <w:rFonts w:ascii="Times New Roman"/>
          <w:b/>
          <w:i w:val="false"/>
          <w:color w:val="000000"/>
        </w:rPr>
        <w:t>
защитных, антидемпинговых и компенсационных мер</w:t>
      </w:r>
      <w:r>
        <w:br/>
      </w:r>
      <w:r>
        <w:rPr>
          <w:rFonts w:ascii="Times New Roman"/>
          <w:b/>
          <w:i w:val="false"/>
          <w:color w:val="000000"/>
        </w:rPr>
        <w:t>
по отношению к третьим странам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 от 16 апреля 2010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года, иных договорах и документах,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договорно-правовую базу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в сфере регулирования внешнеторговой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органа, проводящего расследования, предшествующие введению специальных защитных, антидемпинговых и компенсационных мер по отношению к третьим странам, сведениями, содержащими в том числе конфиденциальную информацию, от уполномоченных органов государственной власти (управления), территориальных (местных) органов государственной власти (управления), других органов государств-членов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проводящий </w:t>
      </w:r>
      <w:r>
        <w:rPr>
          <w:rFonts w:ascii="Times New Roman"/>
          <w:b w:val="false"/>
          <w:i w:val="false"/>
          <w:color w:val="000000"/>
          <w:sz w:val="28"/>
        </w:rPr>
        <w:t>расследования</w:t>
      </w:r>
      <w:r>
        <w:rPr>
          <w:rFonts w:ascii="Times New Roman"/>
          <w:b w:val="false"/>
          <w:i w:val="false"/>
          <w:color w:val="000000"/>
          <w:sz w:val="28"/>
        </w:rPr>
        <w:t>, предшествующие применению специальной защитной, антидемпинговой или компенсационной меры по отношению к третьим странам (далее - орган, проводящий расследования), для целей начала и проведения расследований, объективного анализа воздействия возросшего, демпингового, субсидируемого импорта на отрасль экономики государств-членов Таможенного союза и ситуацию на товарном рынке государств-членов Таможенного союза, а также подготовки предложений по результатам проведенных расследований, направляет соответствующие запросы в органы государственной власти (управления) и территориальные (местные) органы государственной власти (управления) государств-членов Таможенного союза, уполномоченные в области таможенного дела, статистики, налогообложения, регистрации юридических лиц и других областях, а также в дипломатические и торговые представительства государств-членов Таможенного союза в третьих странах (далее - компетентные органы государств-членов Таможенного союза) или в уполномоченные органы государств-членов Таможенного союза,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в компетентные органы и уполномоченные органы государств-членов Таможенного союза о предоставлении информации оформляются в письменном виде на бланке органа, проводящего расследования, и подписываются руководителем (его заместителем) органа, проводящего расследования, с указанием цели, правовых оснований и срока предоставления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Запросы в компетентные органы и уполномоченные органы государств-членов Таможенного союза направляются почтовой связью и при необходимости дублируются посредством служебной электронной почты, зарегистрированной на сервере органа, проводящего расследования. В случае передачи запросов путем факсимильной связи оригинал документа должен быть также направлен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запросам органа, проводящего расследования, предоставляются компетентными органами и уполномоченными органами государств-членов Таможенного союза на безвозмездной основе.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и уполномоченные органы государств-членов Таможенного союза в рамках своей компетенции предоставляют запрашивающему органу, проводящему расследования, необходимую для целей расследования информацию по запрашиваемым временным периодам,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статистические данные о внешней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данные о внешней торговле за предшествующий период, необходимые для проведения расследования. При необходимости таможенные данные о внешней торговле должны предоставляться с разбивкой по таможенным декларациям (далее - ТД), с указанием натуральных и стоимостных показателей экспорта/импорта товара, коммерческого наименования товара из ТД, условий поставки, страны происхождения (страны отправления, страны назначения), наименования и других учетных реквизитов отправителя 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внутреннем рынке товара, являющегося объектом расследования, и соответствующей отрасли экономики государств-членов Таможенного союза, в том числе данные по объемам производства товара, загрузке производственных мощностей, реализации товара, себестоимости товара, прибылям и убыткам национальных предприятий государств-членов Таможенного союза, ценам товара на внутреннем рынке государств-членов Таможенного союза, рентабельности производства, численности персонала, инвестициям;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оценке последствий возможного введения или невведения специальной защитной, антидемпинговой или компенсационной меры по результатам соответствующего расследования на рынок товара, являющегося объектом расследования, государств-членов Таможенного союза, а также прогноз производственной деятельности национальных предприятий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Приведенный в настоящей статье перечень сведений не является исчерпывающим. В случае необходимости и исходя из целей проведения расследования и подготовки предложений по его результатам орган, проводящий расследования, вправе запросить сведения, не указанные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должно осуществляться на электронных носителях информации. При передаче информации, которая может быть представлена в табличной форме (статистическая и таможенная информация), используется формат, указанный в запросе органа, проводящего расследования. Структура передаваемых таблиц определяется по согласованию обменивающихся органов. При отсутствии возможности предоставления информации на электронном носителе информация передается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осуществляется согласованными между обменивающимися органами средствами, доступными на момент передачи и обеспечивающими сохранность и защиту информации от несанкционированного доступа. В случае направления информации путем факсимильной связи оригинал документа должен быть также направлен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Переписка по вопросам реализации положений настоящего Протокола и предоставление сведений по запросам органа, проводящего расследования, осуществляются на русском языке. По отдельным реквизитам (показателям), содержащим иностранные наименования, допускается предоставление информации, с использованием букв латинского алфавита.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отнесенная законодательством государства-члена Таможенного союза к информации с ограниченным доступом (конфиденциальная информация), за исключением сведений, составляющих государственную тайну (государственные секреты), предоставляется в орган, проводящий расследования, с соблюдением требований, установленных законодательством государства-члена Таможенного союза по ее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Орган, проводящий расследования, обязан не разглашать и не передавать третьей стороне конфиденциальную информацию, указанную в части первой настоящей статьи, без письменного согласия компетентного органа государства-члена Таможенного союза, предоставившего эту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порядок использования конфиденциальной информации и хранения документов, содержащих конфиденциальную информацию, определяется внутренним документом органа, проводящего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истечения </w:t>
      </w:r>
      <w:r>
        <w:rPr>
          <w:rFonts w:ascii="Times New Roman"/>
          <w:b w:val="false"/>
          <w:i w:val="false"/>
          <w:color w:val="000000"/>
          <w:sz w:val="28"/>
        </w:rPr>
        <w:t>переходного периода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Межгосударственного Совета Евразийского экономического сообщества (Высшего органа Таможенного союза) от 21 мая 2010 года № 37 порядок обращения с конфиденциальной информацией и правила хранения документов, содержащих конфиденциальную информацию, а также ответственность сотрудников органа, проводящего расследования, за разглашение конфиденциальной информации определяются законодательством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переходного периода порядок обращения с </w:t>
      </w:r>
      <w:r>
        <w:rPr>
          <w:rFonts w:ascii="Times New Roman"/>
          <w:b w:val="false"/>
          <w:i w:val="false"/>
          <w:color w:val="000000"/>
          <w:sz w:val="28"/>
        </w:rPr>
        <w:t>конфиденциальной информацией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 хранения документов, содержащих конфиденциальную информацию, а также 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органа, проводящего расследования, за разглашение конфиденциальной информации определяются отдельно.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государств-членов Таможенного союза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календарных дней с момента получения запроса органа, проводящего расследования, предоставлять имеющиеся в их распоряжении сведения или предупреждать о невозможности предоставления сведений с указанием причин отказа. По мотивированной просьбе органа, проводящего расследования, запрошенные сведения должны быть предоставлены в более короткие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полноту и достоверность предоставляемых сведений и при необходимости оперативно предоставлять дополнения и изменения.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Протокола, разрешаются в первую очередь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путем консультаций и переговоров, любая из Сторон может передать этот спор для рассмотрения в 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настоящий Протокол могут быть внесены изменения, которые оформляются отдельными протоколами.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подписания, подлежит ратификации и вступает в силу с даты получения депозитарием последнего письменного уведомления по дипломатическим каналам о выполнении государствами-членами Таможенного союза внутригосударственных процедур, необходимых для вступления настоящего Протокола в силу.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 19 ноября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 </w:t>
      </w:r>
      <w:r>
        <w:rPr>
          <w:rFonts w:ascii="Times New Roman"/>
          <w:b w:val="false"/>
          <w:i w:val="false"/>
          <w:color w:val="000000"/>
          <w:sz w:val="28"/>
        </w:rPr>
        <w:t>Комиссий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которая, являясь депозитарием настоящего Протокола, направит каждой Стороне его заверенную копию.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За Правительство        За Правительство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Беларусь    Республики Казахстан   Российской Федерации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странам, подписанного 19 ноября 2010 года в г. Санкт-Петербурге: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Премьер-министром Республики Беларусь С.С. Сидорским,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Премьер-Министром Республики Казахстан К.К. Масимовым,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Председателем Правительства Российской Федерации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Секретариата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Таможенного союза                          Н.Б.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