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6330" w14:textId="b0c6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октября 2011 года № 486-IV.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Протокол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года, совершенный в Астане 4 сентября 2006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 Соглашению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Республики Узбекистан о пунктах пропуска</w:t>
      </w:r>
      <w:r>
        <w:br/>
      </w:r>
      <w:r>
        <w:rPr>
          <w:rFonts w:ascii="Times New Roman"/>
          <w:b/>
          <w:i w:val="false"/>
          <w:color w:val="000000"/>
        </w:rPr>
        <w:t>через казахстанско-узбекскую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от 16 ноября 2001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ноября 2011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Республики Узбекистан, именуемые в дальнейшем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согласования международных, двусторонних пунктов пропуска и режима их работы, способствующих развитию сообщения между двумя странами,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 (далее - Соглашение),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пересечения казахстанско-узбекской государственной границы лицами и транспортными средствами, перемещения грузов, товаров и животных Стороны согласовали перечень международных и двусторонних пунктов пропуска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работы пунктов пропуска в весенне-летний и осенне-зимний периоды будет определяться по линии пограничных представителей Сторон.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Протоколе Сторонами используются следующие термины: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двусторонний (межгосударственный) пункт пропуска - для пересечения границы только гражданами и транспортными средствами государств Сторон.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Международный (многосторонний) пункт пропуска - для пересечения государственной границы физическими лицами, независимо от их гражданства (подданства), и транспортными средствами, зарегистрированными на территориях государств сторон и третьих стран.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 с изменениями, внесенными Законом РК от 24.04.2015 </w:t>
      </w:r>
      <w:r>
        <w:rPr>
          <w:rFonts w:ascii="Times New Roman"/>
          <w:b w:val="false"/>
          <w:i w:val="false"/>
          <w:color w:val="ff0000"/>
          <w:sz w:val="28"/>
        </w:rPr>
        <w:t>№ 309-V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действует до прекращения действия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Астане 4 сентября 2006 года в двух экземплярах, каждый на казахском, узбекском и русском языках, при чем все тексты имеют одинаковую силу.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в толковании положений настоящего Протокола, Стороны будут обращаться к тексту на русском языке.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Протоколу к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 о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казахстанско-узбекскую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2001 года</w:t>
            </w:r>
          </w:p>
        </w:tc>
      </w:tr>
    </w:tbl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пунктов пропуска через казахстанско-узбекскую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границу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изменениями, внесенными законами РК от 24.04.2015 </w:t>
      </w:r>
      <w:r>
        <w:rPr>
          <w:rFonts w:ascii="Times New Roman"/>
          <w:b w:val="false"/>
          <w:i w:val="false"/>
          <w:color w:val="ff0000"/>
          <w:sz w:val="28"/>
        </w:rPr>
        <w:t>№ 309-V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03.07.2017 </w:t>
      </w:r>
      <w:r>
        <w:rPr>
          <w:rFonts w:ascii="Times New Roman"/>
          <w:b w:val="false"/>
          <w:i w:val="false"/>
          <w:color w:val="ff0000"/>
          <w:sz w:val="28"/>
        </w:rPr>
        <w:t>№ 82-VI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1407"/>
        <w:gridCol w:w="1538"/>
        <w:gridCol w:w="2191"/>
        <w:gridCol w:w="1017"/>
        <w:gridCol w:w="831"/>
        <w:gridCol w:w="2030"/>
        <w:gridCol w:w="55"/>
        <w:gridCol w:w="1362"/>
      </w:tblGrid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пропуска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Железнодорожные пункты пропуска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Автомобильные пункты пропуска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Гишт-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Зангиота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Законом РК от 24.04.2015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Законом РК от 24.04.2015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Законом РК от 24.04.2015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Законом РК от 24.04.2015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 олтин *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(межгосударственный)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время суток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*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(межгосударственный)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время суток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Пункт пропуска используется только для проезда легкового автотранспорта, пропуск грузов и товаров в коммерческих целях не проводится. Совершение таможенных операций, связанных с помещением товаров под таможенные процедуры, не осуществляется.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