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6330" w14:textId="b0c6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к Соглашению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16 ноября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октября 2011 года № 486-IV.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Ратифицировать Протокол к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16 ноября 2001 года, совершенный в Астане 4 сентября 2006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К Соглашению 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и Правительством Республики Узбекистан о пунктах пропуска</w:t>
      </w:r>
      <w:r>
        <w:br/>
      </w:r>
      <w:r>
        <w:rPr>
          <w:rFonts w:ascii="Times New Roman"/>
          <w:b/>
          <w:i w:val="false"/>
          <w:color w:val="000000"/>
        </w:rPr>
        <w:t>через казахстанско-узбекскую государственную границу</w:t>
      </w:r>
      <w:r>
        <w:br/>
      </w:r>
      <w:r>
        <w:rPr>
          <w:rFonts w:ascii="Times New Roman"/>
          <w:b/>
          <w:i w:val="false"/>
          <w:color w:val="000000"/>
        </w:rPr>
        <w:t>от 16 ноября 2001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11 ноября 2011 года)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и Правительство Республики Узбекистан, именуемые в дальнейшем Сторонами,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согласования международных, двусторонних пунктов пропуска и режима их работы, способствующих развитию сообщения между двумя странами,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16 ноября 2001 года (далее - Соглашение),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пересечения казахстанско-узбекской государственной границы лицами и транспортными средствами, перемещения грузов, товаров и животных Стороны согласовали перечень международных и двусторонних пунктов пропуска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Время работы пунктов пропуска в весенне-летний и осенне-зимний периоды будет определяться по линии пограничных представителей Сторон.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Протоколе Сторонами используются следующие термины: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двусторонний (межгосударственный) пункт пропуска - для пересечения границы только гражданами и транспортными средствами государств Сторон.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Международный (многосторонний) пункт пропуска - для пересечения государственной границы физическими лицами, независимо от их гражданства (подданства), и транспортными средствами, зарегистрированными на территориях государств сторон и третьих стран.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1 с изменениями, внесенными Законом РК от 24.04.2015 </w:t>
      </w:r>
      <w:r>
        <w:rPr>
          <w:rFonts w:ascii="Times New Roman"/>
          <w:b w:val="false"/>
          <w:i w:val="false"/>
          <w:color w:val="ff0000"/>
          <w:sz w:val="28"/>
        </w:rPr>
        <w:t>№ 309-V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Протокол является неотъемлемой частью Соглашения и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Настоящий Протокол действует до прекращения действия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Астане 4 сентября 2006 года в двух экземплярах, каждый на казахском, узбекском и русском языках, при чем все тексты имеют одинаковую силу.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возникновения разногласий в толковании положений настоящего Протокола, Стороны будут обращаться к тексту на русском языке.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Узбекистан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Протоколу к Соглашению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Узбекистан о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пропуска через казахстанско-узбекскую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2001 года</w:t>
            </w:r>
          </w:p>
        </w:tc>
      </w:tr>
    </w:tbl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пунктов пропуска через казахстанско-узбекскую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границу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Перечень с изменениями, внесенными законами РК от 24.04.2015 </w:t>
      </w:r>
      <w:r>
        <w:rPr>
          <w:rFonts w:ascii="Times New Roman"/>
          <w:b w:val="false"/>
          <w:i w:val="false"/>
          <w:color w:val="ff0000"/>
          <w:sz w:val="28"/>
        </w:rPr>
        <w:t>№ 309-V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03.07.2017 </w:t>
      </w:r>
      <w:r>
        <w:rPr>
          <w:rFonts w:ascii="Times New Roman"/>
          <w:b w:val="false"/>
          <w:i w:val="false"/>
          <w:color w:val="ff0000"/>
          <w:sz w:val="28"/>
        </w:rPr>
        <w:t>№ 82-VI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9"/>
        <w:gridCol w:w="1407"/>
        <w:gridCol w:w="1538"/>
        <w:gridCol w:w="2191"/>
        <w:gridCol w:w="1017"/>
        <w:gridCol w:w="831"/>
        <w:gridCol w:w="2030"/>
        <w:gridCol w:w="55"/>
        <w:gridCol w:w="1362"/>
      </w:tblGrid>
      <w:tr>
        <w:trPr>
          <w:trHeight w:val="30" w:hRule="atLeast"/>
        </w:trPr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пропуска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дислокации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Железнодорожные пункты пропуска
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Оазис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(многосторонний)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Круглосуточный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Сары-Агаш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(многосторонний)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Круглосуточный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Сырдарьинская 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(многосторонний)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Круглосуточный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Автомобильные пункты пропуска
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(многосторонний)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Круглосуточный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Гишт-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(многосторонний)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Круглосуточный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Конысбаева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(многосторонний)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Круглосуточный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Капланбек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Зангиота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(многосторонний)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Круглосуточный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(многосторонний)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Круглосуточный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Законом РК от 24.04.2015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309-V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Сырдарьинская 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(многосторонний)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Круглосуточный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Законом РК от 24.04.2015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309-V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Законом РК от 24.04.2015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309-V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Законом РК от 24.04.2015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309-V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 олтин *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Сырдарьинская 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(межгосударственный)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время суток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 *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Сырдарьинская 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(межгосударственный)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время суток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Пункт пропуска используется только для проезда легкового автотранспорта, пропуск грузов и товаров в коммерческих целях не проводится. Совершение таможенных операций, связанных с помещением товаров под таможенные процедуры, не осуществляется.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