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0e6b" w14:textId="0250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развитии в Евразийском экономическом сообществе международного лизинга сельскохозяйственной техники, машин, механизмов, оборудования и транспортных средств, используемых в агропромышленных комплексах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ноября 2011 года № 497-IV.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развитии в Евразийском экономическом сообществе международного лизинга сельскохозяйственной техники, машин, механизмов, оборудования и транспортных средств, используемых в агропромышленных комплексах, совершенное в Санкт-Петербурге 21 мая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развитии в Евразийском экономическом сообществе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лизинга сельскохозяйственной техники,</w:t>
      </w:r>
      <w:r>
        <w:br/>
      </w:r>
      <w:r>
        <w:rPr>
          <w:rFonts w:ascii="Times New Roman"/>
          <w:b/>
          <w:i w:val="false"/>
          <w:color w:val="000000"/>
        </w:rPr>
        <w:t>машин, механизмов, оборудования и транспортных средств,</w:t>
      </w:r>
      <w:r>
        <w:br/>
      </w:r>
      <w:r>
        <w:rPr>
          <w:rFonts w:ascii="Times New Roman"/>
          <w:b/>
          <w:i w:val="false"/>
          <w:color w:val="000000"/>
        </w:rPr>
        <w:t>используемых в агропромышленных комплексах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Евразийского экономического сообщества, именуемые в дальнейшем Сторонами,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г. и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 (далее - ЕврАзЭС или Сообщество),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Концепцией агропромышленной политики государств-членов ЕврАзЭС, утвержденной Решением Межгосударственного Совета ЕврАзЭС от 24 марта 2005 г. № 204,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проведению согласованной политики в целях: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уровня технической оснащенности агропромышленных комплексов государств Сообщества;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производства сельскохозяйственной техники, машин, механизмов, оборудования и транспортных средств, используемых в агропромышленных комплексах государств-членов ЕврАзЭС;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международного лизинга сельскохозяйственной техники, машин, механизмов, оборудования и транспортных средств, используемых в агропромышленных комплексах и производимых в государствах-членах ЕврАзЭС;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конкурентоспособности сельскохозяйственного машиностроения в государствах Сообщества;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объемов производства основных видов сельскохозяйственной продукции для обеспечения продовольственной безопасности государств-членов ЕврАзЭС и Сообщества в целом;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в Сообществе механизмов защиты прав и интересов субъектов международного лизинга сельскохозяйственной техники, машин, механизмов, оборудования и транспортных средств, используемых в агропромышленных комплексах и производимых в государствах-членах ЕврАзЭС;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инвестиций в агропромышленные комплексы государств Сообщества,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понятия: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лизинга -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которым лизингодатель обязуется приобрести в собственность указанный лизингополучателем предмет лизинга у определенного лизингополучателем продавца (поставщика) и предоставить лизингополучателю этот предмет за плату на определенных договором условиях во временное владение и пользование. Договором лизинга может быть предусмотрено, что выбор продавца (поставщика) и предмета лизинга осуществляется лизингодателем;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 - совокупность экономических и правовых отношений, возникающих в связи с реализацией договора лизинга, в том числе приобретением предмета лизинга;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сублизинг - вид договора лизинга, при котором лизингополучатель передает третьему лицу (сублизингополучателю по договору сублизинга) во владение и пользование на определенный срок за плату в соответствии с условиями договора сублизинга имущество, полученное от лизингодателя по договору лизинга и составляющее предмет лизинга. При этом лизингополучатель по договору лизинга, приобретая по отношению к сублизингополучателю по договору сублизинга права лизингодателя в порядке и с учетом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Сторон и договором, не освобождается от предусмотренных договором лизинга обязательств и ответственности перед лизингодателем;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лизинговая деятельность - вид инвестиционной/предпринимательской деятельности, связанной с вложением собственных и/или привлеченных средств лизингодателя (инвестиций) для приобретения предмета лизинга и передачи его лизингополучателю по договору лизинга;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лизингодатель - физическое (если предусмотрено законодательством государств Сторон) или юридическое лицо, которое приобретает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договором лизинга условиях во временное владение и пользование с переходом или без перехода к лизингополучателю права собственности на предмет лизинга по окончании договора лизинга;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лизингополучатель - физическое или юридическое лицо, которое обязуется принять предмет лизинга за определенную плату, на определенный срок и на определенных договором лизинга условиях во временное владение и пользование;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резидент - физическое или юридическое лицо, обладающее статусом резидента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Сторон;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нерезидент - физическое или юридическое лицо, не обладающее статусом резидента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Сторон;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лизинг - вид лизинга, связанный с реализацией договора лизинга, в котором лизингодатель и лизингополучатель являются резидентами разных государств Сторон;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лизинга - любые виды сельскохозяйственной техники, машин, механизмов, оборудования и транспортных средств, используемые в агропромышленных комплексах государств-членов ЕврАзЭС;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 (поставщик) - физическое или юридическое лицо, которое в соответствии с условиями договора купли-продажи (поставки), заключенного с лизингодателем, передает в собственность лизингодателю в обусловленный срок имущество, являющееся предметом лизинга. Продавец (поставщик) может одновременно выступать в качестве лизингополучателя в пределах одного лизингового правоотношения.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Устанавливаемые настоящим Соглашением условия применяются Сторонами для развития международного лизинга (сублизинга) сельскохозяйственной техники, машин, механизмов, оборудования и транспортных средств, используемых в агропромышленных комплексах государств-членов ЕврАзЭС.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 международного лизинга Стороны гарантируют на территории своих государств защиту прав и интересов, которая обеспечивается нормами международного права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Сторон.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своих государств обеспечивают неприкосновенность собственности (предметов международного лизинга) и поощряют в рамках, предусмотренных законодательством своих государств, мобилизацию средств коммерческих структур, банков и иных финансовых организаций для развития международного лизинга.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своего государства в случае необходимости может принимать решение о выделении своим резидентам-лизингополучателям бюджетных средств на возмещение части затрат на уплату лизинговых платежей по договорам международного лизинга.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бюджетных средств на возмещение части затрат на уплату лизинговых платежей по договорам международного лизинга определяется Стороной.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предмета лизинга не может являться единственным или одним из нескольких условий для принятия Стороной решения о выделении своим резидентам-лизингополучателям бюджетных средств на возмещение части затрат на уплату лизинговых платежей по договорам международного лизинга.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в рамках, предусмотренных законодательством государств Сторон, лизингодателям (лизингополучателям) в создании и развитии сервисных центров, предоставляющих хозяйствующим субъектам государств-членов ЕврАзЭС услуги по обслуживанию и ремонту сельскохозяйственной техники, машин, механизмов, оборудования и транспортных средств, поставляемых по договорам международного лизинга.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лизинга может быть застрахован от рисков утраты (гибели), недостачи или повреждения с момента поставки имущества продавцом и до момента окончания срока действия договора лизинга, если иное не предусмотрено этим договором. Стороны, выступающие в качестве страхователя и выгодоприобретателя, а также период страхования предмета лизинга определяются договором лизинга.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разрешаются, в первую очередь, путем проведения консультаций и переговоров.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спор не будет урегулирован таким образом в течение шести месяцев с даты официальной письменной просьбы о проведении консультаций и/или переговоров, направленной одной из Сторон другой Стороне, то, при отсутствии иной договоренности между ними относительно способа его разрешения, любая из Сторон спора может передать спор для рассмотрения в 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других государств, принятых в члены ЕврАзЭС. Документы о присоединении к настоящему Соглашению сдаются на хранение депозитарию.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присоединившихся государств настоящее Соглашение вступает в силу с даты получения депозитарием документа о присоединении.</w:t>
      </w:r>
    </w:p>
    <w:bookmarkEnd w:id="48"/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позднее, чем за 6 месяцев до истечения соответствующего пятилетнего периода его действия.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 истечении 30 дней с даты получения депозитарием, которым является 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сообщества,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 даты его вступления в силу. По истечении этого срока действие Соглашения автоматически продлевается на последующие пятилетние периоды, если Стороны не примут иного решения.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Санкт-Петербург 21 мая 2010 года в единственном подлинном экземпляре на русском языке.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Интеграционном Комитете ЕврАзЭС, который направит подписавшим Сторонам его заверенную копию.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Беларусь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Республики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Таджикистан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