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9447" w14:textId="90f9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(Обычные операции)(Транспортный коридор ЦАРЭС 1 [Участок дороги в Жамбылской области] [Международный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2011 года № 503-IV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Ратифицировать Соглашение о займе (Обычные операции) (Транспортный коридор ЦАРЭС 1 [Участок дороги в Жамбылской области] [Международный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Развития, подписанное в Астане 7 июня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ЗАЙМА 2735-KAZ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 О ЗАЙМЕ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(Обычные операции)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(Транспортный коридор ЦАРЭС 1 [Участок дороги в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области] [Международный транзитный коридор Западная Европа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Западный Китай] Инвестиционная Программа - Проект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7 ИЮНЯ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LAL:KAZ 41121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
(Обычные операции)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ЗАЙМЕ от 7 июня 2011 между РЕСПУБЛИКОЙ КАЗАХСТАН (Заемщик) и АЗИАТСКИМ БАНКОМ РАЗВИТИЯ (АБР).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НИЖЕСЛЕДУЮЩЕЕ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согласно Рамочному соглашению о финансировании «Многотраншевый механизм финансирования КАЗ: Инвестиционная Программа Транспортный Коридор ЦАРЭС 1 (Участки в Жамбылской области) [Международный транзитный коридор Западная Европа - Западный Китай]» от 13 января 2009 года, заключенному между Республикой Казахстан и АБР (РСФ), в целях предоставления помощи Заемщику для финансирования проектов в рамках Инвестиционной Программы (Инвестиционная Программа) Транспортный Коридор ЦАРЭС 1 Участки в Жамбылской области) [Международный транзитный коридор Западная Европа - Западный Китай]» АБР предоставит многотраншевого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посредством предоставления Заемщиком периодического запроса о финансировании от 17 января 2011 года Заемщик обратился к АБР в соответствии с РСФ с просьбой о выделении займа для целей финансирования проекта, описанного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 («Проект»);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АБР предоставит Заемщику займ из обычных капитальных ресурсов АБР на сроки и условиях, представленных в этом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настоящего соглашения договорились о следующем: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Правила предоставления займа; Определения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1.01. Все положения предоставления займа для обычных операций, применимые к займам по Лондонской межбанковской ставке, выделяющимся из Обычных капитальных ресурсов АБР от 1 июля 2001 года (Правила предоставления займа), настоящим считаются применимыми к данному Соглашению о Займе с той же силой и действием, как если бы они были изложены в тексте настоящего Соглашения, однако с соблюдением нижеследующих изменений: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Раздел 3.03 удален и заменен нижеследующим: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 резервирование; Кредит.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выплачивать комиссию за резервирование по невостребованной сумме Займа по ставке и условиям, предусмотренным Соглашением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ставке, предусмотренной в данном Соглашении о Займе, причем такой кредит останется фиксированным до конца срока Займа. АБР обязуется применить сумму кредита к процентам, подлежащим уплате Заемщиком.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Раздел 3.06 удален и заменен нижеследующим: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После каждого уведомления АБР о том, что фиксированный спред, применимый к новым займам будет снижен, АБР обязуется предоставить возмещение каждому Заемщику с невостребованным займом, к которому применим более высокий фиксированный спред. Сумма возмещения будет определена путем умножения (i) разницы между фиксированным спредом, применимым к невостребованному займу, и фиксированным спредом, применимым к новым займам (выраженной в виде годового процентного значения), на (ii) основную сумму невостребованного займа, по которому Заемщик обязуется выплачивать проценты в течение всех процентных периодов, начиная с и после даты вступления в силу сниженного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экономии средств АБР, АБР обязуется предоставить возмещение Заемщику. Сумма возмещения будет определена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непосредственно после полугодия, для которого была рассчитана маржа стоимости финансирования, АБР обязуется применить сумму возмещения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Раздел 3.07 удален и заменен нижеследующим: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После каждого уведомления АБР о том, что фиксированный спред, применимый к новым займам, будет увеличен, каждый Заемщик с невостребованным займом, к которому применим более низкий фиксированный спред, обязуется выплатить АБР дополнительную сумму. Размер данной дополнительной суммы будет определен путем умножения (i) разницы между фиксированным спредом, применимым к новым займам, и фиксированным спредом, применимым к невостребованному займу, (выраженной в виде годового процентного значения) на (ii) основную сумму невостребованного займа, по которой Заемщик обязуется выплачивать проценты в течение всех процентных периодов, начиная с и после момента даты вступления в силу повышенного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дополнительным затратам, понесенным АБР, Заемщик обязуется выплатить АБР дополнительную сумму. Размер данной дополнительной суммы будет определен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незамедлительно после полугодия, для которого была рассчитана маржа стоимости финансирования. АБР обязуется прибавить размер дополнительной оплаты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1.02. При каждом случае употребления в настоящем Соглашении о Займе, если в этот документ не внесены изменения или иное не требуется по контексту, следующие термины, получившие определение в Правилах предоставления займа, имеют соответствующие значения, изложенные в них. Следующие термины имеют нижеследующие значения: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ЦАРЭС означает Центрально-Азиатское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«Транспортный коридор ЦАРЭС 1» означает Международный транзитный коридор «Западная Европа - Западная Китайская Народная Республика», проходящий от Хоргоса на границе с Китайской Народной Республикой через Алматы и Шымкент до западной границы с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«Руководство по привлечению консультационных услуг» означает Руководство по использованию услуг консультантов Азиатским Банком Развития и его Заемщиками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«Консультационные услуги» означают услуги, оказанные в рамках Проекта и финансируемые за счет дохода от Займа по Проекту 1 Инвестиционной Программы в соответствии с пунктом 2(b) Приложения 1 к настоящему Соглашению о займе, однако исключаются любые услуги, предоставляемые в части выполнения контрактных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«РДЭОО» означает рамочный документ экологической оценки и обзора, согласованный между Заемщиком и АБР и включенный посредством ссылки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«ПУОС» означает План управления окружающей средой, включенный в Оценку воздействия на окружающую среду (ПЭО);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РСФ имеет значение, указанное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«ПЭО» означает Предварительную экологическую оценку, подготовленную для Проекта Заемщиком и согласованную с АБР;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«Инвестиционная Программа» имеет значение, данное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(j) «км» означает место с указанием данного знака и определенного количества километров на проектной дороге, и представлен ниже как «км» что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(k) «РДВЗП» означает рамочный документ по выкупу земель и переселения, согласованный между Заемщиком и АБР и включенный посредством ссылки в Приложении 5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(l) «ПВЗП» означает План выкупа земель и переселения для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(m) «Справочник по выплатам средств займа» означает Справочник АБР по выплатам средств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(n) «МТК» означает Министерство транспорта и коммуникаций Заемщика, и любой его правопреемник;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(o) «область» означает территориально-административную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(p) «ПЗФ» означает периодический запрос на финансирование направленный или который будет направлен Заемщиком для получения каждого транша в рамках Инвестиционной Программы, по данному Соглашению о займе представлен периодический запрос на финансирование от 17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(q) «КУП-АБР» означает группу консультантов по управлению проектом, создаваемую в рамках Проекта 1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(r) «Руководство по закупкам» означает Руководство по закупкам АБР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(s) «План закупок» означает план закупок для проекта от 9 февраля 2011 года, согласованный между Заемщиком и АБР, с периодическими обновлениями в соответствии с Руководством по закупкам, Руководством по привлечению консультационных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(t) «Проект», имеет определение, данное в декларативной части (В) к настоящему Соглашению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(u) «Исполнительное Агентство по проекту» для целей и в рамках определения Правил предоставления займа, означает МТК и любого его правопреемника,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(v) «Проектная дорога» означает участки дороги, указанные в подробностях в пункте 2(а) Приложения 1 к настоящему Соглашению о займе, которые будут построены, улучшены или восстановлены в соответствии с Проектом;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(w) «Работы» означают строительство или гражданско-строительные работы, финансируемые за счет средств займа, включая такие услуги как бурение или картографирование, и услуги, относящиеся к проекту, оказываемые как часть единого обязательства либо контракта на строительство «под ключ», за исключением консультационных услуг.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Заем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2.01. (a) АБР соглашается предоставить заем Заемщику из обычных капитальных ресурсов АБР на сумму сто двенадцать миллиона долларов США ($ 112,000,000),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 предполагает период основного погашения 20 лет, и льготный период, определенный в пункте (c)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«льготный период», используемое в пункте (b) данного Раздела означает период, предшествующий первой Дате платежа в погашение основной суммы займа в соответствии с графиком погашения,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2.02. Заемщик обязуется выплачивать АБР проценты на основную сумму займа, востребованного и невостребованного, периодически по ставке каждого процентного периода, равной сумме Лондонской межбанковской ставки и 0.60 % в год согласно Разделу 3.02 Правил предоставления займа, минус кредит 0.30 % в год согласно Разделу 3.03 Правил предоставления займа.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2.03. Заемщик обязуется выплачивать комиссию за резервирование в сумме 0.15 %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даты подписания данного Соглашения о займе.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2.04. Проценты и прочие выплаты по займу подлежат оплате один раз в полугодие 15 февраля и 15 августа каждого года.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2.05. Заемщик обязуется выплатить основную сумму займа, востребованную из Ссудного счета в соответствии с положениями Приложения 2 настоящего Соглашения о займе.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2.06. (a) Заемщик вправе в любое время запросить любую из нижеследующих конвертаций займа с целью обеспечения рационального регулирования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Изменение валюты займа полной или частичной суммы займа, выплаченной и невостребованной или невыплаченной, на утвержденную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Изменение базовой процентной ставки, применимой к полной или частичной основной сумме займа, востребованного и невостребованного, с плавающей процентной ставки на фиксированную и наоборот;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Любой запрос о конвертации, в соответствии с пунктом (a) данного Раздела, одобренный АБР, следует считать «Конвертацией»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bookmarkEnd w:id="23"/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Использование средств займа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3.01.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3.02. Все средства займа должны распределяться и изыматься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займе, при этом допустимы периодические изменения в данном Приложении по согласию между Заемщиком и АБР.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3.03. Если АБР не указано иное, Заемщик проводит или организовывает проведение всех статей расходов в соответствии с применяемыми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 АБР вправе отказать в финансировании контракта, по которому все такие статьи не были в значительной степени закуплены в рамках процедур, оговоренных Заемщиком и АБР, либо в случае, если сроки и условия контракта не удовлетворяют требованиям АБР.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3.04.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3.05. Дата закрытия для снятия средств со счета займа для целей, изложенных в Разделе 9.02 Правил предоставления займа, считается 31 декабря 2014 года, либо такая другая дата, которая может согласовываться между Заемщиком и АБР.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Особые условия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4.01. (a) Заемщик обязуется обеспечить исполнение Проекта с должной ответственностью и эффективностью и в соответствии с рациональными инженерными, финансовыми, экономическими и социальными требованиями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4.02. Заемщик обязуется незамедлительно, по мере необходимости, обеспечить, дополнительно к средствам займа,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4.03. (a) В процессе реализации Проекта Заемщик обязуется обеспечить найм компетентных и квалифицированных консультантов и подрядчиков, приемлемых для АБР, в степени и на срок и на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АБР, незамедлительно после их подготовки,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4.04. Заемщик обязуется убедиться в том,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4.05. (a) Заемщик обязуется (i) вести либо обеспечить ведение отдельной отчетности для Проекта; (ii) проводить ежегодный аудит данных счетов и соответствующих финансовых отчетов в соответствии с четким применением соответствующих стандартов аудита, независимыми аудиторами, чьи квалификация, опыт работы и сфера компетенции отвечают требованиям АБР; (iii) предоставить АБР, по мере получения, но ни в коей мере не позже чем по истечении шести (6) месяцев с момента окончания каждого соответствующего фискального года заверенные копии данных счетов и финансовых отчетов, прошедших аудит, и соответствующий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языке; а также (iv) предоставить АБР прочую информацию, имеющую отношение к данным счетам и финансовым отчетам и аудиту, по периодическому обоснованному 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требованию АБР,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 и обязуется уполномочить и потребовать, чтобы любой из представителей аудиторов принял участие в данном обсуждении во время таких аудитов, по запросу АБР, при условии, что любое такое обсуждение будет проводиться только в присутствии уполномоченного представителя Заемщика, если Заемщик не согласился на иное.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4.06. Заемщик обязуется предоставить возможность представителям АБР инспектировать Проект и Проектные объекты, а также любые соответствующие записи и документы.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4.07. Заемщик обязуется обеспечить, чтобы все Проектные объекты эксплуатировались, обслуживались и ремонтировались в соответствии с рациональными инженерными, финансовыми, экономическими и социальными мерами безопасности, а также в соответствии с процедурами эксплуатации и технического обслуживания дорог.</w:t>
      </w:r>
    </w:p>
    <w:bookmarkEnd w:id="37"/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Вступление в силу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5.01. Дата по истечении 60 дней после даты подписания настоящего Соглашения о займе считается датой вступления в силу Соглашения о займе для целей, изложенных в Разделе 10.04 Правил предоставления займа.</w:t>
      </w:r>
    </w:p>
    <w:bookmarkEnd w:id="39"/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Прочие положения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6.01. Министр финансов Заемщика выступает в качестве представителя Заемщика для целей, изложенных в Разделе 12.02 Правил предоставления займа.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6.02. Нижеследующие реквизиты указаны для целей, изложенных в Разделе 12.01 Правил предоставления займа: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+7 (7172) 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ADB Avenue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Mandaluyong City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1550 Metro Manila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Philippines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(632)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(632) 636-2428.</w:t>
      </w:r>
    </w:p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штаб-квартиру АБР в день и год, указанные выше.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Start w:name="z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1 Описание проекта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Инвестиционной программы - содействие устойчивому экономическому развитию Заемщика путем развития эффективной транспортной системы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детальному описанию в ПЗФ, Проект будет состоять из следующих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Реконструкция 49-километров 2-полосной дороги категории II участка Аспара-Благовещенка (между 261.5 км и 310.05 км) расположенного между Таразом и Кордай в Жамбылской области и ее расширением в 4-х полосную дорогу категории IB;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Консультационные услуги по надзору за строительством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Завершение проекта ожидается к 1 июля 2014 года.</w:t>
      </w:r>
    </w:p>
    <w:bookmarkEnd w:id="45"/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2 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-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- Проект 4)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нижеследующей таблице указаны Даты выплаты основной суммы займа и процент от общей основной суммы займа, подлежащий оплате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 займа, будет определена АБР путем умножения: (a) общей основной суммы займа, востребованного и невостребованного на момент первой даты платежа в погашение основного займа; на (b) Очередной взнос для каждой даты платежа в погашение основного займа,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валюты.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7967"/>
      </w:tblGrid>
      <w:tr>
        <w:trPr>
          <w:trHeight w:val="285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взнос (выраженный в %)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2018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2018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2026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2027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2028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2028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2029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2030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2031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2032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2033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2034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2035 года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100.000000</w:t>
            </w:r>
          </w:p>
        </w:tc>
      </w:tr>
    </w:tbl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средства займа не были в полном объеме востребованы на момент первой даты платежа в погашение основного займа, основная сумма займа, подлежащая оплате Заемщиком на каждую дату платежа в погашение основного займа, будет определена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 той степени, в которой любые средства займа, которые следовало востребовать на момент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и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или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применяется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любой день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в каждую дату платежа в погашение основного займа, начиная со второй даты платежа в погашение основного долга после даты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Приложения, при Конвертации валют в полном объеме или частично востребованных средств основной суммы займа на утвержденную валюту, сумма средств, конвертированных на вышеупомянутую утвержденную валюту, которая подлежит погашению в любую из дат погашения основной суммы в течение периода Конвертации, будет определяться АБР путем умножения данной суммы в валюте деноминации непосредственно перед вышеупомянутой Конвертацией на либо: (i) курс обмена валют, отражающий основные суммы в указанной утвержденной валюте, подлежащие выплате АБР в рамках двойной конвертации валют, относящегося к вышеупомянутой Конвертации; либо (ii) по решению АБР в соответствии с Руководством по Конвертации,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bookmarkEnd w:id="48"/>
    <w:bookmarkStart w:name="z9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3 Распределение и снятие средств займа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Таблица в настоящем Приложении (как показано в Дополнении к настоящему Приложению) излагает Категории статей расходов, финансируемых за счет средств займа, а также распределение сумм займа для каждой такой Категории (Таблица). (Упоминания понятий «Категория» или «Категории» в настоящем Приложении относятся к Категории или Категориям Таблицы).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АБР не согласовано иное, каждая из статей расходов будет финансироваться за счет средств займа на основе процентных значений, указанных в Таблице.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если сумма займа, выделенная для любой категории является недостаточной для финансирования всех согласованных расходов данной Категории, АБР вправе, путем уведомления Заемщика, (i) перераспределить средства для данной Категории в степени, необходимой для восполнения нехватки средств за счет средств, выделенных для другой категории, но,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 расходы в данной Категории, АБР вправе, путем уведомления Заемщика, перераспределить такую избыточную сумму в пользу другой Категории.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АБР не согласовано иное, средства займа подлежат выплате в соответствии со Справочником по выплате средств займа АБР.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Добавление к Приложению 3</w:t>
      </w:r>
    </w:p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3308"/>
        <w:gridCol w:w="3593"/>
        <w:gridCol w:w="5547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РАСПРЕДЕЛЕНИЕ И СНЯТИЕ СРЕДСТВ ЗАЙМА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(Транспортный коридор ЦАРЭС 1 [Участки в Жамбылской области]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[Международный транзитный коридор Западная Европа - Западный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Китай] Инвестиционная программа - Проект 4)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 АБР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 $ Категория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финансирования АБР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счета займа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 затрат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 затрат*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112,000,000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*Не включая налоги и пошлины, взимаемые на территории Заемщика</w:t>
      </w:r>
    </w:p>
    <w:bookmarkStart w:name="z1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4 Закупки работ и консультационных услуг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работы и консультационные услуги подлежат исполнению и контролю в соответствии с Руководством по закупкам, и Руководством по привлечению консультационных услуг,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по-другому в настоящем Соглашении о займе, имеют значения, изложенные в Руководстве по закупкам и/или Руководстве по привлечению консультационных услуг в соответствующих случаях.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АБР не согласился на иное, работы должны будут приобретаться на основе процедуры закупок, изложенных ниже:</w:t>
      </w:r>
    </w:p>
    <w:bookmarkEnd w:id="63"/>
    <w:bookmarkStart w:name="z11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Международные конкурсные торги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закупок, помимо прочих условий, подлежит исполнению в соответствии с детальными договоренностями и пороговыми стоимостями, указанными в Плане закупок. Заемщик вправе модифицировать процедуру закупок или пороговые стоимости только при условии предварительного согласования с АБР, при этом все изменения должны отражаться в дополнениях к Плану закупок.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по присуждению контракта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не должен присуждать контракты по работам до тех пор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Завершенные ПЭО и ПУОС не будут одобрены АБР;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ПВЗП не будет выполнен в соответствии с условиями.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</w:p>
    <w:bookmarkEnd w:id="68"/>
    <w:bookmarkStart w:name="z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АБР не указано иное, Заемщик вправе применить метод отбора консультантов или их объем услуг с учетом качественных и ценовых параметров отбора.</w:t>
      </w:r>
    </w:p>
    <w:bookmarkEnd w:id="69"/>
    <w:bookmarkStart w:name="z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(a) Заемщик обязуется обеспечить, чтобы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убедиться в том, что все контракты по закупкам работ содержат соответствующие представления, гарантии и, если необходимо, гарантии возмещения убытков со стороны подрядчика или поставщика в отношении случаев, указанных в подпункте (a)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Заемщик обязуется убедиться в том, что все контракты с консультантами, финансируемые АБР, содержат соответствующие представления, гарантии и, если необходимо, гарантии возмещения убытков со стороны консультантов, для того, чтобы убедиться в том,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требование.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АБР решений о закупках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контракты, приобретаемые в соответствии с международными конкурсными процедурами, и контракты для Консультационных услуг подлежат предварительному рассмотрению АБР, если иное не оговорено между Заемщиком и АБР и не указано в Плане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Прежде чем предоставить продление установленного периода на завершение работ по контракту, прежде чем согласиться на любые изменения или отказ по срокам и условиям этого контракта, в том числе написание заявки на изменение или заявок в рамках этого контракта, Заемщик должен получить одобрение со стороны АБР на предлагаемое продление, изменение. Если АБР определит, что предолжения несовместимы с условиями Соглашения о займе и/или Планом закупок, то должен незамедлительно проинформировать Заемщика и объяснить причины данного решения. Копии всех поправок к контракту должны быть представлены в АБР для учета.</w:t>
      </w:r>
    </w:p>
    <w:bookmarkEnd w:id="73"/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5 Исполнение проекта и эксплуатация</w:t>
      </w:r>
      <w:r>
        <w:br/>
      </w:r>
      <w:r>
        <w:rPr>
          <w:rFonts w:ascii="Times New Roman"/>
          <w:b/>
          <w:i w:val="false"/>
          <w:color w:val="000000"/>
        </w:rPr>
        <w:t>
проектных объектов; финансовые вопросы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качестве исполнительного агентства по Проекту МТК будет нести общую ответственность за реализацию Проекта. МТК и Комитет автодорог МТК, в качестве реализующего агентства, которому будут помогать (а) КУП-АБР и (b) консультанты по надзору за строительством, привлеченные по данному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Заемщик обязан убедится в том, что (а) МТК мобилизовало консультантов, ответственных за надзор за строительством, до начала любых работ; (b) назначен компетентный персонал МТК и Комитетом дорог для оказания поддержки в течение всего периода реализации проекта; и (с) МТК выполняет проект в соответствии и с использованием графика внедрения по согласованию с АБР.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Мониторинг, Обзор и Оценка Проекта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Заемщик обязан обеспечить, чтобы МТК проводило мониторинг и оценку выполнения данного проекта посредством системы мониторинга эффективности реализации проекта. Ключевые показатели и предполагаемые результаты, представленные в качестве ожидаемых результатов и воздействия проекта в структуре мониторинга и дизайна, будут служить первичными данными, необходимыми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 года после Даты вступления займа в силу будет проведен совместный промежуточный обзор проекта. Данный совместный промежуточный обзор будет нацелен на инженерные, экологические и социальные меры безопасности проекта, соответствие условиям займа и обязательствам, изложенным в РСФ. Оценка позволит провести все необходимые промежуточные изменения для обеспечения успешного внедрения и достижения целей проекта и Инвестиционной программы.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 финансового управления, аудит и отчетность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обязан убедиться в том, что (а) будет создана и будет работать система финансового управления в соответствии с требованиями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будет проводиться финансовый аудит по проекту на ежегодной основе в соответствии с техническим заданием, разработанным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Без предубеждения к положениям (а) Раздела 4.05 настоящего Соглашения о Займе и (b) Статьи VII Правил предоставления займов Заемщик обязуется убедиться в том, что все участники выполнения проекта ведут отдельные записи и счета для использования соответствующих средств Займа; а также средств Заемщика, служащих для той же цели. В дополнение к требованиям, указанным в Разделе 7.04 Правил предоставления займов, Заемщик поручит МТК предоставить в АБР: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месячные отчеты в течение 10 календарных дней после окончания каждого месяца с даты вступления займа в силу для обновления информации о статусе соответствующих мероприятий по реализции проекта и связанных с ними вопросов; (b) квартальные отчеты о достигнутых результатах, в течение 2 недель по окончании каждого квартала с даты вступления займа в силу, и (c) другие отчеты о процессе выполнения и мониторинге раз в полгода.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Софинансирование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ограничивая общий смысл Раздела 4.02 настоящего Соглашения о займе, Заемщик обязуется обеспечить доступность всех средств софинансирования, необходимых для своевременного и эффективного исполнения проекта в виде ежегодно выделяемых бюджетных средств для МТК и обязуется убедиться в том, что необходимые ресурсы предоставляются своевременно. Заемщик обязуется убедиться в том, что МТК включает все измененные потребности в финансировании для реализации проекта в его ежегодных программах развития.</w:t>
      </w:r>
    </w:p>
    <w:bookmarkEnd w:id="82"/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строительства</w:t>
      </w:r>
    </w:p>
    <w:bookmarkEnd w:id="83"/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 поручит МТК обеспечить, чтобы проект исполнялся в соответствии с применимыми техническими спецификациями и планами,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Контракты на работы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 предубеждения к положениям пунктов 11, 12, 13, 14 и 15 Приложения 5 настоящего Соглашения о займе, Заемщик поручит МТК обеспечить, чтобы после присуждения контрактов на работы ни одно из уведомлений о начале работ не было выдано соответствующим подрядчикам до тех пор, пока не будут соблюдены все применимые положения ПВЗП (включая, в частности положения о своевременной выплате компенсации пострадавшим людям) относящиеся к соответствующим разделам дороги по проекту, ПЭО и обновленные ПУОС. Заемщик должен также поручить МТК (а)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 (b) осуществить мониторинг уровня аварийности и интенсивности движения во время эксплуатации проектной дороги.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Недопущение незаконной торговли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Заемщик полностью обеспечит выполнение на проектной дороге надежных и строгих мер для выявления и предотвращения незаконной торговли людьми, диких животных, редких видов животных и контролируемых веществ.</w:t>
      </w:r>
    </w:p>
    <w:bookmarkEnd w:id="88"/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</w:p>
    <w:bookmarkEnd w:id="89"/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 поручит МТК убедиться в том, что (a) проектные решения, строительство и эксплуатация и техническое обслуживание Проектных объектов производятся в соответствии с Политикой АБР о мерах безопасности (2009), природоохранным законодательством и нормативными требованиями Заемщика, РДЭОО, общей оценкой воздействия на окружающую среду, подготовленной для Инвестиционной программы и согласованной с АБР, и ОВОС; и (b) потенциальное вредное воздействие проекта на окружающую среду снижено за счет принятия всех мер минимизации и мониторинга, как указано в ПУОС.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Заемщик поручит МТК дополнительно убедиться в том, что (a) ПУОС обновлен до выдачи любого уведомления о начале работ; (b) достаточные ресурсы предоставлены для реализации, мониторинга и отчетности выполнения ПУОС; (c) полугодовые экологические отчеты подготовлены и предоставлены в АБР в течение одного месяца после каждого периода, по которому составляется отчет; (d) отчеты включают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обзор достижений в выполнении ПУОС и ПЭО, проблемы и меры по решению данных проблем; (e) детальный инженерный план и контракты на строительные работы в рамках проекта включают применяемые экологические меры, обозначенные в ПЭО и ПУОС; и (f) подрядчики контролируются в целях обеспечения соответствия требованиям ПЭОС и ПУОС.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Выкуп земель и переселение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Заемщик поручит МТК убедиться в том, что Проект исполняется в соответствии с действующим законодательством и нормативными требованиями Заемщика, Политикой АБР о мерах безопасности (2009), и РДВЗП и ПВЗП включая,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положения: (а) ПВЗП должен быть доведен до сведения лиц, чьи интересы затронуты в рамках проекта в соответствии с положениями РДВЗП; (b) ПВЗП необходимо предоставить на рассмотрение и одобрение АБР до присуждения каких-либо контрактов на строительные работы; (c) все земельные участки и полоса отвода, необходимые для проекта, должны быть выкуплены и предоставлены своевременно; (d) никакого физического или экономического переселения не должно происходить и никакие указания подрядчикам о начале работ до тех пор, пока: (i) ПВЗП будет окончательно разработан, который включает план, создающий условия для восстановления дохода и уровня жизни с целью оказания помощи перемещенным лицам; (ii) не будут произведены компенсации полной стоимости замещения каждому перемещенному лицу для соответствующих компонентов проекта или участков, готовых к строительству; (iii) другие виды помощи, указанные в соответствующем плане переселения, предоставлены перемещенным лицам; (е) эффективные механизмы рассмотрения жалоб должны быть установлены для оказания помощи лицам, чьи интересы затрагиваются проектом для своевременного разрешения вопросов и жалоб, при их возникновении; (f) необходимый персонал и ресурсы для осуществления контроля и мониторинга реализации ПВЗП; (g) независимая организация по проведению мониторинга, приемлемая для АБР, будет проводить внешний мониторинг и оценку ПВЗП, и представлять результаты в АБР каждые 6 месяцев; и (h) если в период исполнения ПВЗП выявлены любые изменения местности, разбивка дорог, либо дополнительные воздействия на окружающую среду и/или переселение, необходимо внести дополнения в ПВЗП и получить предварительное одобрение АБР и соответствующих правительственных органов до дальнейшей реализации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Заемщик обязуется проводить анализ и поиск равноценных земельных участков для предоставления арендаторам земель, затронутым проектом, или предоставлять другие виды поддержки таким арендаторам в соответствии с применимым правом и законодательством Заемщика, Политикой АБР о мерах безопасности (2009), РДВЗП и ПВЗП для оказания помощи в восстановлении их уровня жизни. Результаты вышеуказанного будут прилагаться к окончательному варианту ПВЗП. В случае, если будет выявлено, что государственных резервных земельных участков в наличии нет, Заемщик предпримет меры по предоставлению арендаторам, затронутым проектом (фермерам, у которых договор аренды на срок хотя бы 5 лет - арендаторы, затронутые проектом), достаточной финансовой или технической помощи для увеличения или расширения производства на оставшихся у них участке(ах) земли. Информация, относящаяся к вышеупомянутому, в т.ч. список арендаторов, затронутых проектом, затраты, графики и меры, предпринимаемые по таким компенсациям будет изложена в окончательном варианте ПВЗП.</w:t>
      </w:r>
    </w:p>
    <w:bookmarkEnd w:id="92"/>
    <w:bookmarkStart w:name="z1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Охрана труда</w:t>
      </w:r>
    </w:p>
    <w:bookmarkEnd w:id="93"/>
    <w:bookmarkStart w:name="z1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Заемщик поручит МТК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включение положений в контракты на работы с тем, чтобы обеспечить соблюдение строительными подрядчиками (i) применимых основных стандартов труда, трудового законодательства и применения соответствующих норм безопасности труда на рабочем месте; (ii) равной оплаты мужчинам и женщинам за равный труд; (iii) неиспользование детского труда при строительстве и мероприятиях по техническому обслуживанию дорог; (iv)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эффективности, и (v) содействовать трудоустройству опытных и неопытных работающих женщин,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осуществление распространения информации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дороге.</w:t>
      </w:r>
    </w:p>
    <w:bookmarkEnd w:id="94"/>
    <w:bookmarkStart w:name="z1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Борьба с коррупцией</w:t>
      </w:r>
    </w:p>
    <w:bookmarkEnd w:id="95"/>
    <w:bookmarkStart w:name="z1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Заемщик обязуется следовать </w:t>
      </w:r>
      <w:r>
        <w:rPr>
          <w:rFonts w:ascii="Times New Roman"/>
          <w:b w:val="false"/>
          <w:i/>
          <w:color w:val="000000"/>
          <w:sz w:val="28"/>
        </w:rPr>
        <w:t>Политике АБР по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1998 года, с поправками на настоящее время). Заемщик в соответствии с его обязательством должен следовать принципам рационального управления, отчетности и прозрачности, соглашается, что АБР вправе расследовать, непосредственно либо через его агентов, все предполагаемые случаи коррупции, мошенничества, тайного сговора или принуждения, относящиеся к проекту, и что Заемщик будет сотрудничать в полной мере и содействовать любому такому расследованию в необходимой степени оказания поддержки, включая обеспечение доступа к соответствующим отчетам и записям, по мере необходимости, для удовлетворительного завершения любого такого расследования. Кроме того, Заемщик поручит МТК (a) проводить периодические проверки действий подрядчиков, относящихся к снятию средств займа и выплатам по нему; (b) убедиться в том, что все контракты, финансируемые АБР в рамках проекта, включают положения, устанавливающие право АБР проводить аудит и производить проверку записей и счетов всех подрядчиков, поставщиков, консультантов, а также поставщиков услуг, относящихся к проекту; (c) убедиться в том,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контракта; и (d) убедиться в выполнении плана борьбы с коррупцией, разработанного для Инвестиционной программы и согласованного с АБР.</w:t>
      </w:r>
    </w:p>
    <w:bookmarkEnd w:id="96"/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Соглашения о займе (Обычные операции) (Транспортный коридор ЦАРЭС 1 [Участок дороги Жамбылской области] [Международный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 на английском языке, совершенного в городе Астана 7 июня 2011 года.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Ахметжанова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