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35b1" w14:textId="6b43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об охране нематериального 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декабря 2011 года № 514-IV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об охране нематериального культурного наследия, принятую в Париже 17 октября 2003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399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МЕЖДУНАРОДНАЯ КОНВЕНЦИЯ</w:t>
      </w:r>
      <w:r>
        <w:br/>
      </w:r>
      <w:r>
        <w:rPr>
          <w:rFonts w:ascii="Times New Roman"/>
          <w:b/>
          <w:i w:val="false"/>
          <w:color w:val="000000"/>
        </w:rPr>
        <w:t>
ОБ ОХРАНЕ НЕМАТЕРИАЛЬНОГО 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Париж, 17 октября 2003 г.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МЕЖДУНАРОДНАЯ КОНВЕНЦИЯ</w:t>
      </w:r>
      <w:r>
        <w:br/>
      </w:r>
      <w:r>
        <w:rPr>
          <w:rFonts w:ascii="Times New Roman"/>
          <w:b/>
          <w:i w:val="false"/>
          <w:color w:val="000000"/>
        </w:rPr>
        <w:t>
ОБ ОХРАНЕ НЕМАТЕРИАЛЬНОГО КУЛЬТУРНОГО НАСЛЕДИЯ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Республики Казахстан 2012 г., № 6, ст. 76 - вступила в силу 28 марта 2012 года)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конференция Организации Объединенных Наций по вопросам образования, науки и культуры, именуемая ниже ЮНЕСКО, собравшаяся в Париже с 29 сентября по 17 октября 2003 г. на свою тридцать вторую сессию,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существующие международно-правовые акты о правах человека, в частности на Всеобщую декларацию прав человека 1948 г., Международный </w:t>
      </w:r>
      <w:r>
        <w:rPr>
          <w:rFonts w:ascii="Times New Roman"/>
          <w:b w:val="false"/>
          <w:i w:val="false"/>
          <w:color w:val="000000"/>
          <w:sz w:val="28"/>
        </w:rPr>
        <w:t>пакт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экономических, социальных и культурных правах 1966 г. и Международный </w:t>
      </w:r>
      <w:r>
        <w:rPr>
          <w:rFonts w:ascii="Times New Roman"/>
          <w:b w:val="false"/>
          <w:i w:val="false"/>
          <w:color w:val="000000"/>
          <w:sz w:val="28"/>
        </w:rPr>
        <w:t>пакт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 1966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принимая во внимание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важное значение нематериального культурного наследия в качестве горнила культурного разнообразия и гарантии устойчивого развития, что подчеркивается в Рекомендации ЮНЕСКО о сохранении фольклора 1989 г., во Всеобщей декларации ЮНЕСКО о культурном разнообразии 2001 г. и в Стамбульской декларации 2002 г., принятой на третьей встрече за круглым столом министров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учитывая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тесную взаимозависимость между нематериальным культурным наследием и материальным культурным и природным наследием,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>, что процессы глобализации и социальных преобразований, создавая условия для возобновления диалога между сообществами, вместе с тем являются, как и явление нетерпимости, источниками серьезной угрозы деградации, исчезновения и разрушения, которая нависла над нематериальным культурным наследием, в частности в результате нехватки средств для охраны такого наследия,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всеобщее стремление обеспечить охрану нематериального культурного наследия человечества и испытываемую в связи с этим общую озабоченность,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признавая</w:t>
      </w:r>
      <w:r>
        <w:rPr>
          <w:rFonts w:ascii="Times New Roman"/>
          <w:b w:val="false"/>
          <w:i w:val="false"/>
          <w:color w:val="000000"/>
          <w:sz w:val="28"/>
        </w:rPr>
        <w:t>, что сообщества, в частности коренные сообщества, группы и, в некоторых случаях, отдельные лица играют важную роль в создании, охране, сохранении и воссоздании нематериального культурного наследия, обогащая тем самым культурное разнообразие и способствуя творчеству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отмечая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большое значение деятельности ЮНЕСКО по разработке нормативных актов, направленных на защиту культурного наследия, в частности Конвенции об охране всемирного культурного и природного наследия 1972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отмечая далее</w:t>
      </w:r>
      <w:r>
        <w:rPr>
          <w:rFonts w:ascii="Times New Roman"/>
          <w:b w:val="false"/>
          <w:i w:val="false"/>
          <w:color w:val="000000"/>
          <w:sz w:val="28"/>
        </w:rPr>
        <w:t>, что в настоящее время не существует никакого имеющего обязательную силу многостороннего правового акта, касающегося охраны нематериального культурного наследия,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считая</w:t>
      </w:r>
      <w:r>
        <w:rPr>
          <w:rFonts w:ascii="Times New Roman"/>
          <w:b w:val="false"/>
          <w:i w:val="false"/>
          <w:color w:val="000000"/>
          <w:sz w:val="28"/>
        </w:rPr>
        <w:t>, что действующие международные соглашения, рекомендации и резолюции о культурном и природном наследии необходимо обогатить и эффективно дополнить новыми положениями, касающимися нематериального культурного наследия,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учитывая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необходимость более глубокого осознания, особенно среди молодых поколений, важности нематериального культурного наследия и его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считая</w:t>
      </w:r>
      <w:r>
        <w:rPr>
          <w:rFonts w:ascii="Times New Roman"/>
          <w:b w:val="false"/>
          <w:i w:val="false"/>
          <w:color w:val="000000"/>
          <w:sz w:val="28"/>
        </w:rPr>
        <w:t>, что в духе сотрудничества и взаимопомощи международное сообщество вместе с государствами-участниками настоящей Конвенции должно содействовать охране такого наследия,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напоминая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программах ЮНЕСКО по нематериальному культурному наследию, в частности провозглашении шедевров устного и нематериального наследия человечества,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принимая во внимание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неоценимую роль нематериального культурного наследия в качестве фактора, способствующего сближению, обменам и взаимопониманию между людьми,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принимает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семнадцатого октября 2003 года настоящую Конвенцию.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2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1 - Цели Конвенции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настоящей Конвенции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охрана нематериального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уважение нематериального культурного наследия соответствующих сообществ, групп и отдельных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привлечение внимания на местном, национальном и международном уровнях к важности нематериального культурного наследия и его взаимного признания;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международное сотрудничество и помощь.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2 - Определения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"Нематериальное культурное наследие" означает обычаи, формы представления и выражения, знания и навыки, - а также связанные с ними инструменты, предметы, артефакты и культурные пространства, - признанные сообществами, группами и, в некоторых случаях, отдельными лицами в качестве части их культурного наследия. Такое нематериальное культурное наследие, передаваемое от поколения к поколению, постоянно воссоздается сообществами и группами в зависимости от окружающей их среды, их взаимодействия с природой и их истории и формирует у них чувство самобытности и преемственности, содействуя тем самым уважению культурного разнообразия и творчеству человека. Для целей настоящей Конвенции принимается во внимание только то нематериальное культурное наследие, которое согласуется с существующими международно-правовыми  актами по правам человека и требованиями взаимного уважения между сообществами, группами и отдельными лицами, а также устойчивого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"Нематериальное культурное наследие", как оно определено в пункте 1 выше, проявляется, в частности,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устные традиции и формы выражения, включая язык в качестве носителя нематериального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исполнительские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обычаи, обряды, празднества;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знания и обычаи, относящиеся к природе и вселенной;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(е) знания и навыки, связанные с традиционными ремеслами.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"Охрана" означает принятие мер с целью обеспечения жизнеспособности нематериального культурного наследия, включая его идентификацию, документирование, исследование, сохранение, защиту, популяризацию, повышение его роли, его передачу, главным образом с помощью формального и неформального образования, а также возрождение различных аспектов такого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"Государства-участники" означают государства, которые связаны настоящей Конвенцией и в отношении которых Конвенция вступила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Настоящая Конвенция применяется mutatis mutandis к территориям,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, которые становятся ее участниками на условиях, определяемых этой статьей. В этом отношении выражение "государства-участники" относится также к этим территориям.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3 - Связь с другими международно-правовыми актами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настоящей Конвенции не может быть истолковано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изменяющее статус или уменьшающее уровень охраны ценностей, которые признаны всемирным наследием в рамках Конвенции об охране культурного и природного наследия 1972 г. и с которыми непосредственно связан тот или иной элемент нематериального культурного наследия;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затрагивающее права и обязательства государств-участников, вытекающие из любых международно-правовых актов, относящихся к правам на интеллектуальную собственность или к использованию биологических и экологических ресурсов, участниками которых они являются.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ОРГАНЫ КОНВЕНЦИИ</w:t>
      </w:r>
    </w:p>
    <w:bookmarkEnd w:id="10"/>
    <w:bookmarkStart w:name="z2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4 - Генеральная ассамблея государств-участников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учреждается Генеральная ассамблея государств-участников, именуемая ниже "Генеральная ассамблея". Генеральная ассамблея является полновластным органом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Генеральная ассамблея собирается на очередные сессии один раз в два года. Она может собираться на внеочередные сессии, если принимает такое решение, или по просьбе Межправительственного комитета по охране нематериального культурного наследия, или по просьбе не менее одной трети государств-участников.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Генеральная ассамблея принимает свои Правила процедуры.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5 - Межправительственный комитет по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нематериального культурного наследия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при ЮНЕСКО учреждается Межправительственный комитет по охране нематериального культурного наследия, именуемый ниже "Комитет". Комитет состоит из представителей 18 государств-участников, избранных государствами-участниками, собравшимися на Генеральную ассамблею, после вступления настоящей Конвенции в силу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Число государств - членов этого Комитета будет увеличено до 24, когда число государств-участников Конвенции достигнет 50.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6 - Выборы и срок полномочий </w:t>
      </w:r>
      <w:r>
        <w:rPr>
          <w:rFonts w:ascii="Times New Roman"/>
          <w:b/>
          <w:i w:val="false"/>
          <w:color w:val="000000"/>
          <w:sz w:val="28"/>
        </w:rPr>
        <w:t>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Комитета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Выборы государств-членов Комитета осуществляются в соответствии с принципами справедливого географического распределения и справедливой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- члены Комитета избираются на срок в четыре года государствами-участниками Конвенции, собравшимися на Генеральную ассамблею.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Однако срок полномочий половины государств - членов Комитета, избранных в ходе первых выборов, составляет два года. Эти государства определяются по жребию в ходе первых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Каждые два года Генеральная ассамблея обновляет наполовину состав государств - членов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Она также избирает такое число государств - членов Комитета, которое необходимо для заполнения вакантных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Государство - член Комитета не может быть избрано на два срока полномочий подряд.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Государства - члены Комитета подбирают в качестве своих представителей лиц, обладающих компетенцией в различных областях нематериального культурного наследия.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7 - Функции Комитета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другим его обязанностям, установленным настоящей Конвенцией, функции Комитета заключаются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содействие достижению целей Конвенции, поощрение и обеспечение мониторинга ее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консультаций относительно передовой практики и подготовка рекомендаций о мерах по охране нематериального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подготовка и представление на утверждение Генеральной ассамблеи проекта плана использования средств Фонда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изыскание путей увеличения ресурсов Фонда и принятие с этой целью необходимых мер в соответствии со статьей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подготовка и представление на утверждение Генеральной ассамблеи оперативного руководства по выполнению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рассмотрение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докладов государств-участников и их резюмирование для Генеральной ассамблеи;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рассмотрение заявок, представляемых государствами-участниками, и принятие решений в соответствии с разработанными Комитетом и утвержденными Генеральной ассамблеей объективными критериями, касающимися: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включения в списки и отбора предложений,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статьях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предоставления международной помощи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8 - Методы работы Комитета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подотчетен Генеральной ассамблее. Он представляет ей доклады о всей своей деятельности и принимаемых им решениях.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принимает свои Правила процедуры большинством, составляющим две трети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может создавать на временной основе специальные консультативные органы, которые он сочтет необходимыми для выполнения стоящей перед ним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может приглашать на свои заседания любые государственные или частные органы, а также любых частных лиц, обладающих признанной компетенцией в различных областях нематериального культурного наследия, с целью проведения с ними консультаций по конкретным вопросам.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9 - Аккредитация консультативных организаций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вносит на рассмотрение Генеральной ассамблеи предложения об аккредитации неправительственных организаций, обладающих признанной компетенцией в области нематериального культурного наследия. По отношению к Комитету эти организации выполняют консультативные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вносит также на рассмотрение Генеральной ассамблеи предложения о критериях и условиях указанной аккредитации.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10 - Секретариат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 ЮНЕСКО оказывает помощь Комитету.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подготавливает документацию для Генеральной ассамблеи и Комитета, а также проекты повестки дня их заседаний и обеспечивает выполнение принимаемых ими решений.</w:t>
      </w:r>
    </w:p>
    <w:bookmarkEnd w:id="24"/>
    <w:bookmarkStart w:name="z7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ОХРАНА НЕМАТЕРИАЛЬНОГО КУЛЬТУРНОГО НАСЛЕДИЯ</w:t>
      </w:r>
      <w:r>
        <w:br/>
      </w:r>
      <w:r>
        <w:rPr>
          <w:rFonts w:ascii="Times New Roman"/>
          <w:b/>
          <w:i w:val="false"/>
          <w:color w:val="000000"/>
        </w:rPr>
        <w:t>
НА НАЦИОНАЛЬНОМ УРОВНЕ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11 - Роль государств-участников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государству-участнику надлежит: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принимать необходимые меры для обеспечения охраны нематериального культурного наследия, имеющегося на его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в рамках мер по охране,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идентифицировать и определять различные элементы нематериального культурного наследия, имеющегося на его территории, при участии сообществ, групп и соответствующих неправительственных организаций.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12 - Перечни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идентификации с целью охраны каждое государство-участник с учетом сложившейся ситуации составляет один или несколько перечней нематериального культурного наследия, имеющегося на его территории. Такие перечни подлежат регулярному обновлению.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Представляя на периодической основе свой доклад Комитету,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, каждое государство-участник сообщает соответствующую информацию по этим перечням.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13 - Другие меры по охране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охраны, развития и повышения роли нематериального культурного наследия, имеющегося на его территории, каждое государство-участник прилагает усилия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принятия общей политики, направленной на повышение роли нематериального культурного наследия в обществе и включение охраны этого наследия в программы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определения или создания одного или нескольких компетентных органов по охране нематериального культурного наследия, имеющегося на его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содействия научным, техническим и искусствоведческим исследованиям, а также разработке научно-исследовательских методологий с целью эффективной охраны нематериального культурного наследия, в частности нематериального культурного наследия, находящегося в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принятия соответствующих юридических, технических, административных и финансовых мер, направленных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содействие созданию или укреплению учреждений по подготовке кадров в области управления нематериальным культурным наследием, а также передаче этого наследия через форумы и пространства, предназначенные для его представления и выражения;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обеспечение доступа к нематериальному культурному наследию при соблюдении принятой практики, определяющей порядок доступа к тем или иным аспектам такого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(iii) создание учреждений, занимающихся документацией по нематериальному культурному наследию, и облегчение доступа к ним.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14 - Образование, повышение осведомленности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общественности и укрепление потенциала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государство-участник, используя все имеющиеся в его распоряжении средства, прилагает усилия,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обеспечение признания, уважения и повышения роли нематериального культурного наследия в обществе, в частности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программ в области образования, повышения осведомленности и информирования общественности, в частности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конкретных программ в области образования и подготовки кадров, предназначенных для соответствующих сообществ и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(iii) мероприятий по укреплению потенциала в области охраны нематериального культурного наследия, связанных, в частности, с вопросами управления и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(iv) неформальных способов передачи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информирование общественности об опасностях, угрожающих такому наследию, а также о мероприятиях, осуществляемых во исполнение настоящей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содействие образованию по вопросам охраны природных пространств и памятных мест, существование которых необходимо для выражения нематериального культурного наследия.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15 - Участие сообществ, групп и отдельных лиц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деятельности по охране нематериального культурного наследия каждое государство-участник стремится обеспечить по возможности самое широкое участие сообществ, групп и, в соответствующих случаях, отдельных лиц, которые занимаются созданием, сохранением и передачей такого наследия, а также активно привлекать их к управлению таким наследием.</w:t>
      </w:r>
    </w:p>
    <w:bookmarkEnd w:id="35"/>
    <w:bookmarkStart w:name="z10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ОХРАНА НЕМАТЕРИАЛЬНОГО КУЛЬТУРНОГО</w:t>
      </w:r>
      <w:r>
        <w:br/>
      </w:r>
      <w:r>
        <w:rPr>
          <w:rFonts w:ascii="Times New Roman"/>
          <w:b/>
          <w:i w:val="false"/>
          <w:color w:val="000000"/>
        </w:rPr>
        <w:t>
НАСЛЕДИЯ НА МЕЖДУНАРОДНОМ УРОВНЕ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16 - Репрезентативный список нематериального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культурного наследия человечества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большей наглядности нематериального культурного наследия, содействия углублению осознания его значения и поощрения диалога на основе уважения культурного разнообразия Комитет, по предложению соответствующих государств-участников, составляет, обновляет и публикует Репрезентативный список нематериального культурного наследия человечества.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разрабатывает и представляет на утверждение Генеральной ассамблеи критерии составления, обновления и публикации указанного Репрезентативного списка.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17 - Список нематериального культурного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наследия, нуждающегося в срочной охране</w:t>
      </w:r>
    </w:p>
    <w:bookmarkEnd w:id="39"/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принятия соответствующих мер охраны Комитет составляет, обновляет и публикует Список нематериального культурного наследия, нуждающегося в срочной охране, и включает такое наследие в этот Список по просьбе соответствующего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разрабатывает и представляет на утверждение Генеральной ассамблеи критерии составления, обновления и публикации указанного 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 чрезвычайной срочности, - объективные критерии которых утверждаются Генеральной ассамблеей на основе предложения Комитета, - он может в консультации с заинтересованным государством-участником включить элемент соответствующего наследия в Список, упомянутый в пункте 1.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18 - Программы, проекты и мероприятия </w:t>
      </w:r>
      <w:r>
        <w:rPr>
          <w:rFonts w:ascii="Times New Roman"/>
          <w:b/>
          <w:i w:val="false"/>
          <w:color w:val="000000"/>
          <w:sz w:val="28"/>
        </w:rPr>
        <w:t>по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нематериального культурного наследия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основе предложений, представляемых государствами-участниками, и в соответствии с разработанными Комитетом критериями, утвержденными Генеральной ассамблеей, Комитет проводит периодический отбор и содействует осуществлению национальных, субрегиональных или региональных программ, проектов и мероприятий по охране наследия, которые, по его мнению, наилучшим образом отражают принципы и цели настоящей Конвенции, с учетом особых потребностей развивающихся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этой целью он получает, рассматривает и утверждает заявки на оказание международной помощи, сформулированные государствами-участниками для подготовки таких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сопровождает осуществление указанных программ, проектов и мероприятий распространением передовой практики в формах, которые будут им определены.</w:t>
      </w:r>
    </w:p>
    <w:bookmarkEnd w:id="42"/>
    <w:bookmarkStart w:name="z11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МЕЖДУНАРОДНОЕ СОТРУДНИЧЕСТВО И ПОМОЩЬ</w:t>
      </w:r>
    </w:p>
    <w:bookmarkEnd w:id="43"/>
    <w:bookmarkStart w:name="z2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19 - Сотрудничество</w:t>
      </w:r>
    </w:p>
    <w:bookmarkEnd w:id="44"/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настоящей Конвенции международное сотрудничество включает, в частности, обмен информацией и опытом, совместные инициативы, а также создание механизма оказания помощи государствам-участникам в их усилиях, направленных на охрану нематериального 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 ущерба для положений их национального законодательства и норм обычного права и практики государства-участники признают, что охрана нематериального культурного наследия представляет общий интерес для человечества, и с этой целью обязуются сотрудничать на двустороннем, субрегиональном, региональном и международном уровнях.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20 - Цели международной помощи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помощь может предоставляться в следующих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охрана наследия, включенного в Список нематериального культурного наследия, нуждающегося в срочной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подготовка перечней в смысле </w:t>
      </w:r>
      <w:r>
        <w:rPr>
          <w:rFonts w:ascii="Times New Roman"/>
          <w:b w:val="false"/>
          <w:i w:val="false"/>
          <w:color w:val="000000"/>
          <w:sz w:val="28"/>
        </w:rPr>
        <w:t>статей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поддержка программ, проектов и мероприятий, осуществляемых на национальном, субрегиональном и региональном уровнях, которые направлены на охрану нематериального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любой другой цели, которую Комитет может счесть необходимой.</w:t>
      </w:r>
    </w:p>
    <w:bookmarkEnd w:id="47"/>
    <w:bookmarkStart w:name="z1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21 - Формы международной помощи</w:t>
      </w:r>
    </w:p>
    <w:bookmarkEnd w:id="48"/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Помощь, предоставляемая Комитетом государству-участнику, регламентируется оперативным руководством, упомянутым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, а также соглашением,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, и может принимать следующие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исследования, касающиеся различных аспектов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услуг экспертов и носителей нематериального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подготовка любого необходимого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разработка нормативных и других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создание и обеспечение функционирования инфраструктур;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предоставление оборудования и ноу-хау;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другие формы финансовой и технической помощи, включая, в определенных случаях, предоставление займов под низкие проценты и пожертвований.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22 - Условия предоставления международной помощи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устанавливает процедуру рассмотрения заявок на международную помощь и уточняет такие аспекты указанных заявок, как предусматриваемые меры, необходимые действия и оценка связанных с ними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срочных случаях заявка на получение помощи рассматривается Комитетом на приоритетной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целью принятия решения Комитет проводит такие исследования и консультации, которые он считает необходимыми.</w:t>
      </w:r>
    </w:p>
    <w:bookmarkEnd w:id="51"/>
    <w:bookmarkStart w:name="z1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23 - Заявки на международную помощь</w:t>
      </w:r>
    </w:p>
    <w:bookmarkEnd w:id="52"/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может представить Комитету заявку на международную помощь по охране нематериального культурного наследия, имеющегося на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Такая заявка может быть также представлена совместно двумя или более государствами-участниками.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заявку включается информация, предусмотренная в пункте 1 статьи 22, и необходимая документация.</w:t>
      </w:r>
    </w:p>
    <w:bookmarkEnd w:id="53"/>
    <w:bookmarkStart w:name="z1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24 - Роль государств-участников, </w:t>
      </w:r>
      <w:r>
        <w:rPr>
          <w:rFonts w:ascii="Times New Roman"/>
          <w:b/>
          <w:i w:val="false"/>
          <w:color w:val="000000"/>
          <w:sz w:val="28"/>
        </w:rPr>
        <w:t>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бенефициарами</w:t>
      </w:r>
    </w:p>
    <w:bookmarkEnd w:id="54"/>
    <w:bookmarkStart w:name="z1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положениями настоящей Конвенции предоставляемая международная помощь регулируется соглашением между государством-участником, являющимся бенефициаром, и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Как общее правило, государство-участник, являющееся бенефициаром, в зависимости от имеющихся в его распоряжении средств, участвует в покрытии расходов, связанных с мерами охраны, на которые предоставляется международная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Государство-участник, являющееся бенефициаром, представляет Комитету доклад об использовании помощи, оказываемой в целях охраны нематериального культурного наследия.</w:t>
      </w:r>
    </w:p>
    <w:bookmarkEnd w:id="55"/>
    <w:bookmarkStart w:name="z14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ФОНД НЕМАТЕРИАЛЬНОГО КУЛЬТУРНОГО НАСЛЕДИЯ</w:t>
      </w:r>
    </w:p>
    <w:bookmarkEnd w:id="56"/>
    <w:bookmarkStart w:name="z2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25 - Характер и ресурсы Фонда</w:t>
      </w:r>
    </w:p>
    <w:bookmarkEnd w:id="57"/>
    <w:bookmarkStart w:name="z1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учреждается "Фонд нематериального культурного наследия", именуемый ниже "Фонд".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Этот Фонд в соответствии с Положением о финансах ЮНЕСКО является целевым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Фонда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взносов государств-участников;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средств, ассигнованных для этой цели Генеральной конференцией ЮНЕСКО;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взносов, пожертвований или завещанного имущества, которые могут быть предоставлены: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другими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организациями и программами системы Организации Объединенных Наций, в частности Программой развития Организации Объединенных Наций, и другими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(iii) государственными или частными органами или частными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любых процентных начислений на средства этого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сумм сборов и поступлений от мероприятий, организованных в пользу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любых других средств, предусмотренных Положением о Фонде, разработанным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принимает решения об использовании средств на основе руководящих указаний Генеральной ассамблеи.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может принимать взносы и помощь в других формах, предназначенные для общих или конкретных целей, связанных с определенными проектами, при условии, что такие проекты одобрены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Внесение взносов в Фонд не может сопровождаться никакими политическими, экономическими или иными условиями, не совместимыми с целями, преследуемыми настоящей Конвенцией.</w:t>
      </w:r>
    </w:p>
    <w:bookmarkEnd w:id="58"/>
    <w:bookmarkStart w:name="z1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26 - Взносы государств-участников в Фонд</w:t>
      </w:r>
    </w:p>
    <w:bookmarkEnd w:id="59"/>
    <w:bookmarkStart w:name="z1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 ущерба для любого дополнительного добровольного взноса государства-участники настоящей Конвенции обязуются вносить в Фонд по крайней мере раз в два года взносы, сумма которых, исчисляемая по единой процентной ставке, применяемой для всех государств, определяется Генеральной ассамблеей. Решение Генеральной ассамблеи по этому вопросу принимается большинством присутствующих и участвующих в голосовании государств-участников, которые не сделали заявления, предусмотренного в пункте 2 настоящей статьи. Ни в коем случае указанный взнос государства-участника не превышает 1 % его взноса в обычный бюджет ЮНЕСКО.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Однако любое государство, упомянутое в 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статье 33 настоящей Конвенции, может в момент сдачи на хранение своей ратификационной грамоты или документа о принятии, утверждении или присоединении сделать заявление, что оно не будет связано положениями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Государство-участник настоящей Конвенции, сделавшее заявление, предусмотренное в пункте 2 настоящей статьи, прилагает усилия к тому, чтобы отозвать свое заявление, уведомив об этом Генерального директора ЮНЕСКО. Однако отзыв заявления вступает в силу в отношении взноса, причитающегося с этого государства, только с даты открытия следующей сессии Генеральной ассамблеи.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Чтобы Комитет мог эффективно планировать свою деятельность, взносы государств-участников настоящей Конвенции, сделавших заявления, предусмотренные в пункте 2 настоящей статьи, должны вноситься на регулярной основе, по крайней мере раз в два года, и должны по возможности приближаться к сумме взносов, которые они должны были бы вносить в том случае, если бы они были связаны положениями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Любое государство-участник настоящей Конвенции, имеющее задолженность по своим обязательным или добровольным взносам за текущий год и календарный год, который непосредственно предшествует ему, не может быть избрано членом Комитета; это положение не применяется к первым выборам. Полномочия такого государства, уже являющегося членом Комитета, истекают в момент любых выборов,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Конвенции.</w:t>
      </w:r>
    </w:p>
    <w:bookmarkEnd w:id="60"/>
    <w:bookmarkStart w:name="z1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27 - Дополнительные добровольные взносы в Фонд</w:t>
      </w:r>
    </w:p>
    <w:bookmarkEnd w:id="61"/>
    <w:bookmarkStart w:name="z1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Государства-участники, желающие внести добровольные взносы, являющиеся дополнительными по отношению к тем, которые предусмотрены в 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, информируют об этом Комитет как можно быстрее, с тем чтобы он мог соответствующим образом планировать свою деятельность.</w:t>
      </w:r>
    </w:p>
    <w:bookmarkEnd w:id="62"/>
    <w:bookmarkStart w:name="z1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28 - Международные кампании по сбору средств</w:t>
      </w:r>
    </w:p>
    <w:bookmarkEnd w:id="63"/>
    <w:bookmarkStart w:name="z1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по мере возможности оказывают поддержку международным кампаниям по сбору средств для Фонда, организуемым под эгидой ЮНЕСКО.</w:t>
      </w:r>
    </w:p>
    <w:bookmarkEnd w:id="64"/>
    <w:bookmarkStart w:name="z1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ДОКЛАДЫ</w:t>
      </w:r>
    </w:p>
    <w:bookmarkEnd w:id="65"/>
    <w:bookmarkStart w:name="z2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29 - Доклады государств-участников</w:t>
      </w:r>
    </w:p>
    <w:bookmarkEnd w:id="66"/>
    <w:bookmarkStart w:name="z1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представляют Комитету в форме и с периодичностью, определяемыми Комитетом, доклады о законодательных и регламентирующих положениях или других мерах, принятых ими в целях выполнения настоящей Конвенции.</w:t>
      </w:r>
    </w:p>
    <w:bookmarkEnd w:id="67"/>
    <w:bookmarkStart w:name="z1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30 - Доклады Комитета</w:t>
      </w:r>
    </w:p>
    <w:bookmarkEnd w:id="68"/>
    <w:bookmarkStart w:name="z1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представляет каждой сессии Генеральной ассамблеи доклад, подготавливаемый на основе его деятельности и докладов государств-участников, указанных в статье 29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Этот доклад доводится до сведения Генеральной конференции ЮНЕСКО.</w:t>
      </w:r>
    </w:p>
    <w:bookmarkEnd w:id="69"/>
    <w:bookmarkStart w:name="z1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ПЕРЕХОДНЫЕ ПОЛОЖЕНИЯ</w:t>
      </w:r>
    </w:p>
    <w:bookmarkEnd w:id="70"/>
    <w:bookmarkStart w:name="z2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31 - Связь с провозглашением шедевров </w:t>
      </w:r>
      <w:r>
        <w:rPr>
          <w:rFonts w:ascii="Times New Roman"/>
          <w:b/>
          <w:i w:val="false"/>
          <w:color w:val="000000"/>
          <w:sz w:val="28"/>
        </w:rPr>
        <w:t>устного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нематериального наследия человечества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включает в Репрезентативный список нематериального культурного наследия человечества шедевры устного и нематериального наследия человечества, провозглашенные до вступления в силу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Включение указанных шедевров в Репрезентативный список нематериального культурного наследия человечества никоим образом не предрешает критерии, устанавливаемые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, применительно к последующим включениям.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 вступления настоящей Конвенции в силу не будет проводиться никаких дальнейших провозглашений.</w:t>
      </w:r>
    </w:p>
    <w:bookmarkEnd w:id="72"/>
    <w:bookmarkStart w:name="z1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ЗАКЛЮЧИТЕЛЬНЫЕ ПОЛОЖЕНИЯ</w:t>
      </w:r>
    </w:p>
    <w:bookmarkEnd w:id="73"/>
    <w:bookmarkStart w:name="z2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32 - Ратификация, принятие и утверждение</w:t>
      </w:r>
    </w:p>
    <w:bookmarkEnd w:id="74"/>
    <w:bookmarkStart w:name="z1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подлежит ратификации, принятию или утверждению государствами - членами ЮНЕСКО в порядке, предусмотренном их соответствующими конституционными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Ратификационные грамоты, документы о принятии или утверждении сдаются на хранение Генеральному директору ЮНЕСКО.</w:t>
      </w:r>
    </w:p>
    <w:bookmarkEnd w:id="75"/>
    <w:bookmarkStart w:name="z1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33 - Присоединение</w:t>
      </w:r>
    </w:p>
    <w:bookmarkEnd w:id="76"/>
    <w:bookmarkStart w:name="z1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открыта для присоединения всех государств, не являющихся членами ЮНЕСКО, которым Генеральная конференция Организации предлагает присоединиться к этой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открыта также для присоединения территорий, имеющих полное внутреннее самоуправление, которые признаются как таковые Организацией Объединенных Наций, но не достигли полной независимости в соответствии с резолюцией 1514 (XV) Генеральной Ассамблеи Организации Объединенных Наций, и обладающих компетенцией в вопросах, регулируемых настоящей Конвенцией, в том числе компетенцией по заключению договоров, относящихся к таким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 о присоединении сдается на хранение Генеральному директору ЮНЕСКО.</w:t>
      </w:r>
    </w:p>
    <w:bookmarkEnd w:id="77"/>
    <w:bookmarkStart w:name="z1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34 - Вступление в силу</w:t>
      </w:r>
    </w:p>
    <w:bookmarkEnd w:id="78"/>
    <w:bookmarkStart w:name="z1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через три месяца со дня сдачи на хранение тридцатой ратификационной грамоты или документа о принятии, утверждении или присоединении, но лишь в отношении тех государств, которые сдали на хранение свои ратификационные грамоты или документы о принятии, утверждении или присоединении в указанный день или ранее. В отношении любого другого государства-участника Конвенция вступает в силу через три месяца со дня сдачи на хранение его ратификационной грамоты или документа о принятии, утверждении или присоединении.</w:t>
      </w:r>
    </w:p>
    <w:bookmarkEnd w:id="79"/>
    <w:bookmarkStart w:name="z1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35 - Федеративные или неунитарные </w:t>
      </w:r>
      <w:r>
        <w:rPr>
          <w:rFonts w:ascii="Times New Roman"/>
          <w:b/>
          <w:i w:val="false"/>
          <w:color w:val="000000"/>
          <w:sz w:val="28"/>
        </w:rPr>
        <w:t>конституционные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системы</w:t>
      </w:r>
    </w:p>
    <w:bookmarkEnd w:id="80"/>
    <w:bookmarkStart w:name="z1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положения применяются к государствам-участникам, имеющим федеративное или неунитарное конституционное устройство: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в том что касается положений настоящей Конвенции, применение которых относится к юрисдикции федеральной или центральной законодательной власти, обязательства федерального или центрального правительства будут теми же, что и обязательства государств-участников, не являющихся федеративными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в том что касается положений настоящей Конвенции, применение которых относится к юрисдикции отдельных входящих в федерацию штатов, областей, провинций или кантонов, которые в соответствии с существующей в ней конституциональной системой не обязаны принимать законодательных мер, федеральное правительство доводит указанные положения до сведения компетентных властей штатов, областей, провинций или кантонов с рекомендацией о их принятии.</w:t>
      </w:r>
    </w:p>
    <w:bookmarkEnd w:id="81"/>
    <w:bookmarkStart w:name="z1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36 - Денонсация</w:t>
      </w:r>
    </w:p>
    <w:bookmarkEnd w:id="82"/>
    <w:bookmarkStart w:name="z1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может денонсировать настоящую Конвенцию.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Денонсация нотифицируется письменным актом, который сдается на хранение Генеральному директору ЮНЕСКО.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Денонсация вступает в силу через двенадцать месяцев после даты получения акта о денонсации. Она никоим образом не изменяет финансовых обязательств, принятых на себя денонсирующим государством-участником, до даты вступления в силу выхода из Конвенции.</w:t>
      </w:r>
    </w:p>
    <w:bookmarkEnd w:id="83"/>
    <w:bookmarkStart w:name="z2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37 - Функции депозитария</w:t>
      </w:r>
    </w:p>
    <w:bookmarkEnd w:id="84"/>
    <w:bookmarkStart w:name="z2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ЮНЕСКО, выступая в качестве депозитария настоящей Конвенции, информирует государства - члены Организации, государства, не являющиеся членами Организации,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, а также Организацию Объединенных Наций о сдаче на хранение всех ратификационных грамот, документов о принятии, утверждении или присоединении,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статьях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а также об актах денонсации,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2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38 - Поправки</w:t>
      </w:r>
    </w:p>
    <w:bookmarkEnd w:id="86"/>
    <w:bookmarkStart w:name="z2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Государство-участник может путем письменного сообщения, направленного Генеральному директору ЮНЕСКО, предложить поправки к настоящей Конвенции. Генеральный директор рассылает такое сообщение всем государствам-участникам. Если в течение шести месяцев с даты рассылки указанного сообщения не менее половины государств-участников дадут положительные ответы на это предложение, Генеральный директор представляет его следующей сессии Генеральной ассамблеи для рассмотрения и возможного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Поправки принимаются большинством в две трети присутствующих и участвующих в голосовании государств-участников.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Поправки к настоящей Конвенции после их принятия подлежат ратификации, принятию, утверждению или присоединению государствами-участниками.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Поправки вступают в силу, но лишь в отношении государств, которые ратифицировали, приняли, утвердили эти поправки к настоящей Конвенции или присоединились к ним, через три месяца со дня сдачи на хранение документов, указанных в пункте 3 настоящей статьи, двумя третями государств-участников. В последующем для каждого государства-участника, которое ратифицирует, примет, утвердит поправку или присоединится к поправке, данная поправка вступает в силу через три месяца со дня сдачи на хранение государством-участником его документа о ратификации, принятии, утверждении или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Процедура, установленная в пунктах 3 и 4, не применяется в отношении поправок к статье 5, касающейся числа государств - членов Комитета. Такие поправки вступают в силу на момент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Государство, которое становится участником настоящей Конвенции после вступления в силу поправок в соответствии с пунктом 4 настоящей статьи, если только оно не заявляет об ином намерении, считается: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участником настоящей Конвенции с принятыми к ней поправками;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участником настоящей Конвенции без принятых к ней поправок в отношении любого государства-участника, не связанного этими поправками.</w:t>
      </w:r>
    </w:p>
    <w:bookmarkEnd w:id="87"/>
    <w:bookmarkStart w:name="z2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39 - Аутентичность текстов</w:t>
      </w:r>
    </w:p>
    <w:bookmarkEnd w:id="88"/>
    <w:bookmarkStart w:name="z2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составлена на английском, арабском, испанском, китайском, русском и французском языках, причем все шесть текстов являются равно аутентичными.</w:t>
      </w:r>
    </w:p>
    <w:bookmarkEnd w:id="89"/>
    <w:bookmarkStart w:name="z2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40 - Регистрация</w:t>
      </w:r>
    </w:p>
    <w:bookmarkEnd w:id="90"/>
    <w:bookmarkStart w:name="z2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102 Устава Организации Объединенных Наций настоящая Конвенция регистрируется в Секретариате Организации Объединенных Наций по просьбе Генерального директора ЮНЕСКО.</w:t>
      </w:r>
    </w:p>
    <w:bookmarkEnd w:id="91"/>
    <w:bookmarkStart w:name="z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Париже 3 ноября 2003 года в двух аутентичных экземплярах за подписью Председателя тридцать второй сессии Генеральной конференции и Генерального директора ЮНЕСКО. Оба экземпляра сдаются на хранение в архив ЮНЕСКО, а их надлежащим образом заверенные копии направляются всем государствам, указанным в статьях 32 и 33, а также Организации Объединенных Наций.</w:t>
      </w:r>
    </w:p>
    <w:bookmarkEnd w:id="92"/>
    <w:bookmarkStart w:name="z2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Приведенный выше текст является подлинным текстом Конвенции, надлежащим образом принятой Генеральной конференцией ЮНЕСКО на ее тридцать второй сессии, которая состоялась в Париже и была объявлена закрытой 17 октября 2003 года.</w:t>
      </w:r>
    </w:p>
    <w:bookmarkEnd w:id="93"/>
    <w:bookmarkStart w:name="z2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настоящую Конвенцию подписали 3 ноября 2003 года.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Генеральной конференции       Генеральный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Заверенная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Юридический советник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 вопросам образования, науки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следуют тексты Конвенции на английском, арабском, испанском, китайском и французском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