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29f8" w14:textId="4482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26 декабря 2014 года № 268-V ЗРК</w:t>
      </w:r>
    </w:p>
    <w:p>
      <w:pPr>
        <w:spacing w:after="0"/>
        <w:ind w:left="0"/>
        <w:jc w:val="both"/>
      </w:pPr>
      <w:bookmarkStart w:name="z90" w:id="0"/>
      <w:r>
        <w:rPr>
          <w:rFonts w:ascii="Times New Roman"/>
          <w:b w:val="false"/>
          <w:i w:val="false"/>
          <w:color w:val="000000"/>
          <w:sz w:val="28"/>
        </w:rPr>
        <w:t>
      Ратифицировать </w:t>
      </w:r>
      <w:r>
        <w:rPr>
          <w:rFonts w:ascii="Times New Roman"/>
          <w:b w:val="false"/>
          <w:i w:val="false"/>
          <w:color w:val="000000"/>
          <w:sz w:val="28"/>
        </w:rPr>
        <w:t>Соглашение о займе</w:t>
      </w:r>
      <w:r>
        <w:rPr>
          <w:rFonts w:ascii="Times New Roman"/>
          <w:b w:val="false"/>
          <w:i w:val="false"/>
          <w:color w:val="000000"/>
          <w:sz w:val="28"/>
        </w:rPr>
        <w:t xml:space="preserve">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 совершенное в Астане 29 апреля 2014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color w:val="000000"/>
          <w:sz w:val="28"/>
        </w:rPr>
        <w:t>ЗАЕМ № 8277-KZ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СОГЛАШЕНИЕ О ЗАЙМЕ</w:t>
      </w:r>
    </w:p>
    <w:bookmarkEnd w:id="1"/>
    <w:p>
      <w:pPr>
        <w:spacing w:after="0"/>
        <w:ind w:left="0"/>
        <w:jc w:val="both"/>
      </w:pPr>
      <w:r>
        <w:rPr>
          <w:rFonts w:ascii="Times New Roman"/>
          <w:b w:val="false"/>
          <w:i w:val="false"/>
          <w:color w:val="000000"/>
          <w:sz w:val="28"/>
        </w:rPr>
        <w:t>(Вторая фаза Проекта по усовершенствованию ирригационных и дренажных систем) между РЕСПУБЛИКОЙ КАЗАХСТАН и</w:t>
      </w:r>
      <w:r>
        <w:br/>
      </w:r>
      <w:r>
        <w:rPr>
          <w:rFonts w:ascii="Times New Roman"/>
          <w:b w:val="false"/>
          <w:i w:val="false"/>
          <w:color w:val="000000"/>
          <w:sz w:val="28"/>
        </w:rPr>
        <w:t>
МЕЖДУНАРОДНЫМ БАНКОМ РЕКОНСТРУКЦИИ И РАЗВИТИЯ</w:t>
      </w:r>
      <w:r>
        <w:br/>
      </w:r>
      <w:r>
        <w:rPr>
          <w:rFonts w:ascii="Times New Roman"/>
          <w:b w:val="false"/>
          <w:i w:val="false"/>
          <w:color w:val="000000"/>
          <w:sz w:val="28"/>
        </w:rPr>
        <w:t>
от 29 апреля 2014 года</w:t>
      </w:r>
    </w:p>
    <w:bookmarkStart w:name="z2" w:id="2"/>
    <w:p>
      <w:pPr>
        <w:spacing w:after="0"/>
        <w:ind w:left="0"/>
        <w:jc w:val="left"/>
      </w:pPr>
      <w:r>
        <w:rPr>
          <w:rFonts w:ascii="Times New Roman"/>
          <w:b/>
          <w:i w:val="false"/>
          <w:color w:val="000000"/>
        </w:rPr>
        <w:t xml:space="preserve"> 
СОГЛАШЕНИЕ О ЗАЙМЕ</w:t>
      </w:r>
    </w:p>
    <w:bookmarkEnd w:id="2"/>
    <w:p>
      <w:pPr>
        <w:spacing w:after="0"/>
        <w:ind w:left="0"/>
        <w:jc w:val="both"/>
      </w:pPr>
      <w:r>
        <w:rPr>
          <w:rFonts w:ascii="Times New Roman"/>
          <w:b w:val="false"/>
          <w:i w:val="false"/>
          <w:color w:val="000000"/>
          <w:sz w:val="28"/>
        </w:rPr>
        <w:t>      Соглашение от 29 апреля 2014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3" w:id="3"/>
    <w:p>
      <w:pPr>
        <w:spacing w:after="0"/>
        <w:ind w:left="0"/>
        <w:jc w:val="left"/>
      </w:pPr>
      <w:r>
        <w:rPr>
          <w:rFonts w:ascii="Times New Roman"/>
          <w:b/>
          <w:i w:val="false"/>
          <w:color w:val="000000"/>
        </w:rPr>
        <w:t xml:space="preserve"> 
СТАТЬЯ I - ОБЩИЕ УСЛОВИЯ; ОПРЕДЕЛЕНИЯ</w:t>
      </w:r>
    </w:p>
    <w:bookmarkEnd w:id="3"/>
    <w:bookmarkStart w:name="z4" w:id="4"/>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w:t>
      </w:r>
    </w:p>
    <w:bookmarkEnd w:id="4"/>
    <w:bookmarkStart w:name="z6" w:id="5"/>
    <w:p>
      <w:pPr>
        <w:spacing w:after="0"/>
        <w:ind w:left="0"/>
        <w:jc w:val="left"/>
      </w:pPr>
      <w:r>
        <w:rPr>
          <w:rFonts w:ascii="Times New Roman"/>
          <w:b/>
          <w:i w:val="false"/>
          <w:color w:val="000000"/>
        </w:rPr>
        <w:t xml:space="preserve"> 
СТАТЬЯ II - ЗАЕМ</w:t>
      </w:r>
    </w:p>
    <w:bookmarkEnd w:id="5"/>
    <w:bookmarkStart w:name="z7" w:id="6"/>
    <w:p>
      <w:pPr>
        <w:spacing w:after="0"/>
        <w:ind w:left="0"/>
        <w:jc w:val="both"/>
      </w:pPr>
      <w:r>
        <w:rPr>
          <w:rFonts w:ascii="Times New Roman"/>
          <w:b w:val="false"/>
          <w:i w:val="false"/>
          <w:color w:val="000000"/>
          <w:sz w:val="28"/>
        </w:rPr>
        <w:t>
      2.01. Банк согласен предоставить Заемщику сумму, равную ста двум миллионам девятисот двум тысячам четыреста сорока долларам США (102 902 440 долларов США),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2.07</w:t>
      </w:r>
      <w:r>
        <w:rPr>
          <w:rFonts w:ascii="Times New Roman"/>
          <w:b w:val="false"/>
          <w:i w:val="false"/>
          <w:color w:val="000000"/>
          <w:sz w:val="28"/>
        </w:rPr>
        <w:t xml:space="preserve"> настоящего Соглашения («Заем»), на срок и условиях, изложенных в настоящем Соглашении, с целью оказания содействия в финансировании проекта, описание которого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w:t>
      </w:r>
      <w:r>
        <w:rPr>
          <w:rFonts w:ascii="Times New Roman"/>
          <w:b w:val="false"/>
          <w:i w:val="false"/>
          <w:color w:val="000000"/>
          <w:sz w:val="28"/>
        </w:rPr>
        <w:t>
      2.04. Проценты, подлежащие уплате Заемщиком за каждый процентный период, будет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w:t>
      </w:r>
      <w:r>
        <w:rPr>
          <w:rFonts w:ascii="Times New Roman"/>
          <w:b w:val="false"/>
          <w:i w:val="false"/>
          <w:color w:val="000000"/>
          <w:sz w:val="28"/>
        </w:rPr>
        <w:t>статьи IV</w:t>
      </w:r>
      <w:r>
        <w:rPr>
          <w:rFonts w:ascii="Times New Roman"/>
          <w:b w:val="false"/>
          <w:i w:val="false"/>
          <w:color w:val="000000"/>
          <w:sz w:val="28"/>
        </w:rPr>
        <w:t xml:space="preserve">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рассчитываться в соответствии с положениями  </w:t>
      </w:r>
      <w:r>
        <w:rPr>
          <w:rFonts w:ascii="Times New Roman"/>
          <w:b w:val="false"/>
          <w:i w:val="false"/>
          <w:color w:val="000000"/>
          <w:sz w:val="28"/>
        </w:rPr>
        <w:t>Раздела 3.02</w:t>
      </w:r>
      <w:r>
        <w:rPr>
          <w:rFonts w:ascii="Times New Roman"/>
          <w:b w:val="false"/>
          <w:i w:val="false"/>
          <w:color w:val="000000"/>
          <w:sz w:val="28"/>
        </w:rPr>
        <w:t>(е) Общих Условий.</w:t>
      </w:r>
      <w:r>
        <w:br/>
      </w:r>
      <w:r>
        <w:rPr>
          <w:rFonts w:ascii="Times New Roman"/>
          <w:b w:val="false"/>
          <w:i w:val="false"/>
          <w:color w:val="000000"/>
          <w:sz w:val="28"/>
        </w:rPr>
        <w:t>
</w:t>
      </w:r>
      <w:r>
        <w:rPr>
          <w:rFonts w:ascii="Times New Roman"/>
          <w:b w:val="false"/>
          <w:i w:val="false"/>
          <w:color w:val="000000"/>
          <w:sz w:val="28"/>
        </w:rPr>
        <w:t>
      2.05. Датами платежей являются 15 июня и 15 декабря каждого года.</w:t>
      </w:r>
      <w:r>
        <w:br/>
      </w:r>
      <w:r>
        <w:rPr>
          <w:rFonts w:ascii="Times New Roman"/>
          <w:b w:val="false"/>
          <w:i w:val="false"/>
          <w:color w:val="000000"/>
          <w:sz w:val="28"/>
        </w:rPr>
        <w:t>
</w:t>
      </w:r>
      <w:r>
        <w:rPr>
          <w:rFonts w:ascii="Times New Roman"/>
          <w:b w:val="false"/>
          <w:i w:val="false"/>
          <w:color w:val="000000"/>
          <w:sz w:val="28"/>
        </w:rPr>
        <w:t>
      2.06. Основная сумма Займа погашается в соответствии с графиком погашения,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2.07. (а)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ко всей или к любой части снятой и непогашенной основной суммы Займа с переменной ставки на фиксированную ставку, и наоборот, или с переменной ставки, основанной на переменном спрэде, на переменной ставку, основанную на фиксированном спрэде;, и (iii) определение пределов переменной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w:t>
      </w:r>
      <w:r>
        <w:br/>
      </w:r>
      <w:r>
        <w:rPr>
          <w:rFonts w:ascii="Times New Roman"/>
          <w:b w:val="false"/>
          <w:i w:val="false"/>
          <w:color w:val="000000"/>
          <w:sz w:val="28"/>
        </w:rPr>
        <w:t>
      (b)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End w:id="6"/>
    <w:bookmarkStart w:name="z14" w:id="7"/>
    <w:p>
      <w:pPr>
        <w:spacing w:after="0"/>
        <w:ind w:left="0"/>
        <w:jc w:val="left"/>
      </w:pPr>
      <w:r>
        <w:rPr>
          <w:rFonts w:ascii="Times New Roman"/>
          <w:b/>
          <w:i w:val="false"/>
          <w:color w:val="000000"/>
        </w:rPr>
        <w:t xml:space="preserve"> 
СТАТЬЯ III - ПРОЕКТ</w:t>
      </w:r>
    </w:p>
    <w:bookmarkEnd w:id="7"/>
    <w:bookmarkStart w:name="z15" w:id="8"/>
    <w:p>
      <w:pPr>
        <w:spacing w:after="0"/>
        <w:ind w:left="0"/>
        <w:jc w:val="both"/>
      </w:pPr>
      <w:r>
        <w:rPr>
          <w:rFonts w:ascii="Times New Roman"/>
          <w:b w:val="false"/>
          <w:i w:val="false"/>
          <w:color w:val="000000"/>
          <w:sz w:val="28"/>
        </w:rPr>
        <w:t>
      3.01. Заемщик заявляет о своей приверженности достижению целей Проекта. С этой целью Заемщик реализует Проект через КВР в соответствии с положениями </w:t>
      </w:r>
      <w:r>
        <w:rPr>
          <w:rFonts w:ascii="Times New Roman"/>
          <w:b w:val="false"/>
          <w:i w:val="false"/>
          <w:color w:val="000000"/>
          <w:sz w:val="28"/>
        </w:rPr>
        <w:t>Статьи V</w:t>
      </w:r>
      <w:r>
        <w:rPr>
          <w:rFonts w:ascii="Times New Roman"/>
          <w:b w:val="false"/>
          <w:i w:val="false"/>
          <w:color w:val="000000"/>
          <w:sz w:val="28"/>
        </w:rPr>
        <w:t xml:space="preserve">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ограничений в соответствии с требованиями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и за исключением случаев, когда Заемщик и Банк могут договориться об ином,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8"/>
    <w:bookmarkStart w:name="z17" w:id="9"/>
    <w:p>
      <w:pPr>
        <w:spacing w:after="0"/>
        <w:ind w:left="0"/>
        <w:jc w:val="left"/>
      </w:pPr>
      <w:r>
        <w:rPr>
          <w:rFonts w:ascii="Times New Roman"/>
          <w:b/>
          <w:i w:val="false"/>
          <w:color w:val="000000"/>
        </w:rPr>
        <w:t xml:space="preserve"> 
СТАТЬЯ IV - ВСТУПЛЕНИЕ В СИЛУ; ПРЕКРАЩЕНИЕ ДЕЙСТВИЯ</w:t>
      </w:r>
    </w:p>
    <w:bookmarkEnd w:id="9"/>
    <w:bookmarkStart w:name="z18" w:id="10"/>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(а) принятие Заемщиком Руководства по управлению Проектом, удовлетворительного для Банка.</w:t>
      </w:r>
      <w:r>
        <w:br/>
      </w:r>
      <w:r>
        <w:rPr>
          <w:rFonts w:ascii="Times New Roman"/>
          <w:b w:val="false"/>
          <w:i w:val="false"/>
          <w:color w:val="000000"/>
          <w:sz w:val="28"/>
        </w:rPr>
        <w:t>
      (b) создание ГУП Заемщиком, при Комитете по водным ресурсам, в составе, с ресурсами и техническими заданиями, удовлетворительными для Банка, включая отбор специалистов по финансовому управлению и освоению средств.</w:t>
      </w:r>
      <w:r>
        <w:br/>
      </w:r>
      <w:r>
        <w:rPr>
          <w:rFonts w:ascii="Times New Roman"/>
          <w:b w:val="false"/>
          <w:i w:val="false"/>
          <w:color w:val="000000"/>
          <w:sz w:val="28"/>
        </w:rPr>
        <w:t>
      (c) подписание контракта Заемщиком, с техническими заданиями, удовлетворительными для Банка, по установке полностью автоматизированной системы финансовой отчетности по проекту, которая сможет генерировать промежуточные неаудированные финансовые отчеты.</w:t>
      </w:r>
      <w:r>
        <w:br/>
      </w:r>
      <w:r>
        <w:rPr>
          <w:rFonts w:ascii="Times New Roman"/>
          <w:b w:val="false"/>
          <w:i w:val="false"/>
          <w:color w:val="000000"/>
          <w:sz w:val="28"/>
        </w:rPr>
        <w:t>
</w:t>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10"/>
    <w:bookmarkStart w:name="z20" w:id="11"/>
    <w:p>
      <w:pPr>
        <w:spacing w:after="0"/>
        <w:ind w:left="0"/>
        <w:jc w:val="left"/>
      </w:pPr>
      <w:r>
        <w:rPr>
          <w:rFonts w:ascii="Times New Roman"/>
          <w:b/>
          <w:i w:val="false"/>
          <w:color w:val="000000"/>
        </w:rPr>
        <w:t xml:space="preserve"> 
СТАТЬЯ V - ПРЕДСТАВИТЕЛИ; АДРЕСА</w:t>
      </w:r>
    </w:p>
    <w:bookmarkEnd w:id="11"/>
    <w:bookmarkStart w:name="z21" w:id="12"/>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w:t>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bookmarkEnd w:id="12"/>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(7)(3172) 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СОГЛАСОВАНО в Астане, Республика Казахстан, в день и год, указанные выше.</w:t>
      </w:r>
    </w:p>
    <w:p>
      <w:pPr>
        <w:spacing w:after="0"/>
        <w:ind w:left="0"/>
        <w:jc w:val="both"/>
      </w:pPr>
      <w:r>
        <w:rPr>
          <w:rFonts w:ascii="Times New Roman"/>
          <w:b w:val="false"/>
          <w:i w:val="false"/>
          <w:color w:val="000000"/>
          <w:sz w:val="28"/>
        </w:rPr>
        <w:t xml:space="preserve">За РЕСПУБЛИКУ КАЗАХСТАН            </w:t>
      </w:r>
      <w:r>
        <w:br/>
      </w:r>
      <w:r>
        <w:rPr>
          <w:rFonts w:ascii="Times New Roman"/>
          <w:b w:val="false"/>
          <w:i w:val="false"/>
          <w:color w:val="000000"/>
          <w:sz w:val="28"/>
        </w:rPr>
        <w:t xml:space="preserve">
Кем: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xml:space="preserve">
Ф.И.О.: Бахыт Султанов             </w:t>
      </w:r>
      <w:r>
        <w:br/>
      </w:r>
      <w:r>
        <w:rPr>
          <w:rFonts w:ascii="Times New Roman"/>
          <w:b w:val="false"/>
          <w:i w:val="false"/>
          <w:color w:val="000000"/>
          <w:sz w:val="28"/>
        </w:rPr>
        <w:t xml:space="preserve">
Должность: Заместитель Премьер     </w:t>
      </w:r>
      <w:r>
        <w:br/>
      </w:r>
      <w:r>
        <w:rPr>
          <w:rFonts w:ascii="Times New Roman"/>
          <w:b w:val="false"/>
          <w:i w:val="false"/>
          <w:color w:val="000000"/>
          <w:sz w:val="28"/>
        </w:rPr>
        <w:t xml:space="preserve">
Министра - Министр финансов        </w:t>
      </w:r>
    </w:p>
    <w:p>
      <w:pPr>
        <w:spacing w:after="0"/>
        <w:ind w:left="0"/>
        <w:jc w:val="both"/>
      </w:pPr>
      <w:r>
        <w:rPr>
          <w:rFonts w:ascii="Times New Roman"/>
          <w:b w:val="false"/>
          <w:i w:val="false"/>
          <w:color w:val="000000"/>
          <w:sz w:val="28"/>
        </w:rPr>
        <w:t xml:space="preserve">За МЕЖДУНАРОДНЫЙ БАНК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Кем: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Ф.И.О.: Шебнем Аккая               </w:t>
      </w:r>
    </w:p>
    <w:p>
      <w:pPr>
        <w:spacing w:after="0"/>
        <w:ind w:left="0"/>
        <w:jc w:val="both"/>
      </w:pPr>
      <w:r>
        <w:rPr>
          <w:rFonts w:ascii="Times New Roman"/>
          <w:b w:val="false"/>
          <w:i w:val="false"/>
          <w:color w:val="000000"/>
          <w:sz w:val="28"/>
        </w:rPr>
        <w:t>Должность: Постоянный представитель</w:t>
      </w:r>
    </w:p>
    <w:bookmarkStart w:name="z23" w:id="13"/>
    <w:p>
      <w:pPr>
        <w:spacing w:after="0"/>
        <w:ind w:left="0"/>
        <w:jc w:val="left"/>
      </w:pPr>
      <w:r>
        <w:rPr>
          <w:rFonts w:ascii="Times New Roman"/>
          <w:b/>
          <w:i w:val="false"/>
          <w:color w:val="000000"/>
        </w:rPr>
        <w:t xml:space="preserve"> 
ПРИЛОЖЕНИЕ 1 Описание проекта</w:t>
      </w:r>
    </w:p>
    <w:bookmarkEnd w:id="13"/>
    <w:p>
      <w:pPr>
        <w:spacing w:after="0"/>
        <w:ind w:left="0"/>
        <w:jc w:val="both"/>
      </w:pPr>
      <w:r>
        <w:rPr>
          <w:rFonts w:ascii="Times New Roman"/>
          <w:b w:val="false"/>
          <w:i w:val="false"/>
          <w:color w:val="000000"/>
          <w:sz w:val="28"/>
        </w:rPr>
        <w:t>      Целью данного Проекта является повышение качества услуг ирригационных и дренажных систем для оказания поддержки фермерам на проектных территориях.</w:t>
      </w:r>
    </w:p>
    <w:p>
      <w:pPr>
        <w:spacing w:after="0"/>
        <w:ind w:left="0"/>
        <w:jc w:val="both"/>
      </w:pP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w:t>
      </w:r>
      <w:r>
        <w:rPr>
          <w:rFonts w:ascii="Times New Roman"/>
          <w:b w:val="false"/>
          <w:i w:val="false"/>
          <w:color w:val="000000"/>
          <w:sz w:val="28"/>
          <w:u w:val="single"/>
        </w:rPr>
        <w:t>Реабилитация и модернизация инфраструктуры ирригационных и дренажных систем.</w:t>
      </w:r>
    </w:p>
    <w:p>
      <w:pPr>
        <w:spacing w:after="0"/>
        <w:ind w:left="0"/>
        <w:jc w:val="both"/>
      </w:pPr>
      <w:r>
        <w:rPr>
          <w:rFonts w:ascii="Times New Roman"/>
          <w:b w:val="false"/>
          <w:i w:val="false"/>
          <w:color w:val="000000"/>
          <w:sz w:val="28"/>
        </w:rPr>
        <w:t>      (a) Проведение реабилитации и модернизации существующей ирригационной и дренажной инфраструктуры на площади приблизительно в 113 000 га.</w:t>
      </w:r>
      <w:r>
        <w:br/>
      </w:r>
      <w:r>
        <w:rPr>
          <w:rFonts w:ascii="Times New Roman"/>
          <w:b w:val="false"/>
          <w:i w:val="false"/>
          <w:color w:val="000000"/>
          <w:sz w:val="28"/>
        </w:rPr>
        <w:t>
      (b) Поддержка по вопросам проектирования и контроля в ходе реабилитации и модернизации ирригационной и дренажной инфраструктуры, включая подготовку Планов обеспечения безопасности плотин для конкретных участков.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w:t>
      </w:r>
      <w:r>
        <w:rPr>
          <w:rFonts w:ascii="Times New Roman"/>
          <w:b w:val="false"/>
          <w:i w:val="false"/>
          <w:color w:val="000000"/>
          <w:sz w:val="28"/>
        </w:rPr>
        <w:t>    </w:t>
      </w:r>
      <w:r>
        <w:rPr>
          <w:rFonts w:ascii="Times New Roman"/>
          <w:b w:val="false"/>
          <w:i w:val="false"/>
          <w:color w:val="000000"/>
          <w:sz w:val="28"/>
          <w:u w:val="single"/>
        </w:rPr>
        <w:t>Устойчивое управление. эксплуатация и содержание ирригационных и дренажных систем.</w:t>
      </w:r>
    </w:p>
    <w:p>
      <w:pPr>
        <w:spacing w:after="0"/>
        <w:ind w:left="0"/>
        <w:jc w:val="both"/>
      </w:pPr>
      <w:r>
        <w:rPr>
          <w:rFonts w:ascii="Times New Roman"/>
          <w:b w:val="false"/>
          <w:i w:val="false"/>
          <w:color w:val="000000"/>
          <w:sz w:val="28"/>
        </w:rPr>
        <w:t>      (а) Развивать и укреплять сельские потребительские кооперативы и другие водохозяйственные организации посредством: (i) содействия в создании и организации работы групп поддержки и обучения; (ii) содействия мероприятиям по совместному развитию и управлению ирригационной системой, в том числе изучение соответствующих вопросов водохозяйственного сектора и доступ к кредитным и лизинговым ресурсам; (iii) улучшения системы управления, эксплуатации и содержания, включая инструменты мониторинга состояния воды.</w:t>
      </w:r>
      <w:r>
        <w:br/>
      </w:r>
      <w:r>
        <w:rPr>
          <w:rFonts w:ascii="Times New Roman"/>
          <w:b w:val="false"/>
          <w:i w:val="false"/>
          <w:color w:val="000000"/>
          <w:sz w:val="28"/>
        </w:rPr>
        <w:t>
      (b) Содействовать модернизации и укреплению системы внутрихозяйственного управления водными ресурсами на уровне сельских потребительских кооперативов.</w:t>
      </w:r>
      <w:r>
        <w:br/>
      </w:r>
      <w:r>
        <w:rPr>
          <w:rFonts w:ascii="Times New Roman"/>
          <w:b w:val="false"/>
          <w:i w:val="false"/>
          <w:color w:val="000000"/>
          <w:sz w:val="28"/>
        </w:rPr>
        <w:t>
      (с) Поддержка модернизации и укрепления управления, эксплуатации и содержания главной ирригационной и дренажной системы.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w:t>
      </w:r>
      <w:r>
        <w:rPr>
          <w:rFonts w:ascii="Times New Roman"/>
          <w:b w:val="false"/>
          <w:i w:val="false"/>
          <w:color w:val="000000"/>
          <w:sz w:val="28"/>
        </w:rPr>
        <w:t>    </w:t>
      </w:r>
      <w:r>
        <w:rPr>
          <w:rFonts w:ascii="Times New Roman"/>
          <w:b w:val="false"/>
          <w:i w:val="false"/>
          <w:color w:val="000000"/>
          <w:sz w:val="28"/>
          <w:u w:val="single"/>
        </w:rPr>
        <w:t>Развитие сельского хозяйства</w:t>
      </w:r>
    </w:p>
    <w:p>
      <w:pPr>
        <w:spacing w:after="0"/>
        <w:ind w:left="0"/>
        <w:jc w:val="both"/>
      </w:pPr>
      <w:r>
        <w:rPr>
          <w:rFonts w:ascii="Times New Roman"/>
          <w:b w:val="false"/>
          <w:i w:val="false"/>
          <w:color w:val="000000"/>
          <w:sz w:val="28"/>
        </w:rPr>
        <w:t>      (a) Укрепление потенциала фермеров посредством: (i) усовершенствования методов управления хозяйством и землепользования; (ii) передачи знаний в области агротехнических инноваций; (iii) поддержки сельских кооперативов, включая создание и укрепление центров по обслуживанию фермеров.</w:t>
      </w:r>
      <w:r>
        <w:br/>
      </w:r>
      <w:r>
        <w:rPr>
          <w:rFonts w:ascii="Times New Roman"/>
          <w:b w:val="false"/>
          <w:i w:val="false"/>
          <w:color w:val="000000"/>
          <w:sz w:val="28"/>
        </w:rPr>
        <w:t>
      (b) Поддержка механизации ирригационных систем и сельскохозяйственного производства посредством: (i) развития водосберегающих технологий; (ii) стимулирования доступа к технике для обслуживания ирригационных внутрихозяйственных систем; (iii) дальнейшее развитие соответствующих консультативных организаций.</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w:t>
      </w:r>
      <w:r>
        <w:rPr>
          <w:rFonts w:ascii="Times New Roman"/>
          <w:b w:val="false"/>
          <w:i w:val="false"/>
          <w:color w:val="000000"/>
          <w:sz w:val="28"/>
        </w:rPr>
        <w:t>    </w:t>
      </w:r>
      <w:r>
        <w:rPr>
          <w:rFonts w:ascii="Times New Roman"/>
          <w:b w:val="false"/>
          <w:i w:val="false"/>
          <w:color w:val="000000"/>
          <w:sz w:val="28"/>
          <w:u w:val="single"/>
        </w:rPr>
        <w:t>Управление проектом, техническая поддержка и обучение</w:t>
      </w:r>
    </w:p>
    <w:p>
      <w:pPr>
        <w:spacing w:after="0"/>
        <w:ind w:left="0"/>
        <w:jc w:val="both"/>
      </w:pPr>
      <w:r>
        <w:rPr>
          <w:rFonts w:ascii="Times New Roman"/>
          <w:b w:val="false"/>
          <w:i w:val="false"/>
          <w:color w:val="000000"/>
          <w:sz w:val="28"/>
        </w:rPr>
        <w:t>      Поддержка ГУП в управлении проектом, администрировании, координации, проведении закупок и финансовом управлении, включая мониторинг и оценку воздействия Проекта, подготовку и реализацию ЭО, аудит.</w:t>
      </w:r>
    </w:p>
    <w:bookmarkStart w:name="z24" w:id="14"/>
    <w:p>
      <w:pPr>
        <w:spacing w:after="0"/>
        <w:ind w:left="0"/>
        <w:jc w:val="left"/>
      </w:pPr>
      <w:r>
        <w:rPr>
          <w:rFonts w:ascii="Times New Roman"/>
          <w:b/>
          <w:i w:val="false"/>
          <w:color w:val="000000"/>
        </w:rPr>
        <w:t xml:space="preserve"> 
ПРИЛОЖЕНИЕ 2 Исполнение Проекта</w:t>
      </w:r>
    </w:p>
    <w:bookmarkEnd w:id="14"/>
    <w:p>
      <w:pPr>
        <w:spacing w:after="0"/>
        <w:ind w:left="0"/>
        <w:jc w:val="both"/>
      </w:pPr>
      <w:r>
        <w:rPr>
          <w:rFonts w:ascii="Times New Roman"/>
          <w:b/>
          <w:i w:val="false"/>
          <w:color w:val="000000"/>
          <w:sz w:val="28"/>
        </w:rPr>
        <w:t xml:space="preserve">      Раздел I. </w:t>
      </w:r>
      <w:r>
        <w:rPr>
          <w:rFonts w:ascii="Times New Roman"/>
          <w:b w:val="false"/>
          <w:i w:val="false"/>
          <w:color w:val="000000"/>
          <w:sz w:val="28"/>
          <w:u w:val="single"/>
        </w:rPr>
        <w:t>Механизмы реализации</w:t>
      </w:r>
    </w:p>
    <w:p>
      <w:pPr>
        <w:spacing w:after="0"/>
        <w:ind w:left="0"/>
        <w:jc w:val="both"/>
      </w:pPr>
      <w:r>
        <w:rPr>
          <w:rFonts w:ascii="Times New Roman"/>
          <w:b/>
          <w:i w:val="false"/>
          <w:color w:val="000000"/>
          <w:sz w:val="28"/>
        </w:rPr>
        <w:t>      А. Институциональные механизмы</w:t>
      </w:r>
    </w:p>
    <w:p>
      <w:pPr>
        <w:spacing w:after="0"/>
        <w:ind w:left="0"/>
        <w:jc w:val="both"/>
      </w:pPr>
      <w:r>
        <w:rPr>
          <w:rFonts w:ascii="Times New Roman"/>
          <w:b w:val="false"/>
          <w:i w:val="false"/>
          <w:color w:val="000000"/>
          <w:sz w:val="28"/>
        </w:rPr>
        <w:t>      Заемщик выполняет оперативные мероприятия по Проекту через КВР в соответствии со следующими институциональными и другими механизмами:</w:t>
      </w:r>
    </w:p>
    <w:bookmarkStart w:name="z27" w:id="15"/>
    <w:p>
      <w:pPr>
        <w:spacing w:after="0"/>
        <w:ind w:left="0"/>
        <w:jc w:val="both"/>
      </w:pP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может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w:t>
      </w:r>
      <w:r>
        <w:br/>
      </w:r>
      <w:r>
        <w:rPr>
          <w:rFonts w:ascii="Times New Roman"/>
          <w:b w:val="false"/>
          <w:i w:val="false"/>
          <w:color w:val="000000"/>
          <w:sz w:val="28"/>
        </w:rPr>
        <w:t>
</w:t>
      </w:r>
      <w:r>
        <w:rPr>
          <w:rFonts w:ascii="Times New Roman"/>
          <w:b w:val="false"/>
          <w:i w:val="false"/>
          <w:color w:val="000000"/>
          <w:sz w:val="28"/>
        </w:rPr>
        <w:t>
      2. В течение всего периода реализации Проекта Заемщик обеспечивает соответствие состава, ресурсов и технических заданий ГУП при КВР в Астане, удовлетворяющие требования Банка.</w:t>
      </w:r>
      <w:r>
        <w:br/>
      </w:r>
      <w:r>
        <w:rPr>
          <w:rFonts w:ascii="Times New Roman"/>
          <w:b w:val="false"/>
          <w:i w:val="false"/>
          <w:color w:val="000000"/>
          <w:sz w:val="28"/>
        </w:rPr>
        <w:t>
</w:t>
      </w:r>
      <w:r>
        <w:rPr>
          <w:rFonts w:ascii="Times New Roman"/>
          <w:b w:val="false"/>
          <w:i w:val="false"/>
          <w:color w:val="000000"/>
          <w:sz w:val="28"/>
        </w:rPr>
        <w:t>
      3. Не позднее чем через девяносто (90) дней после даты вступления в силу Заемщик создает и в течение всего периода реализации Проекта поддерживает работу ГУП в Шымкенте с составом, ресурсами и техническими заданиями, удовлетворяющими требованиям Банка.</w:t>
      </w:r>
      <w:r>
        <w:br/>
      </w:r>
      <w:r>
        <w:rPr>
          <w:rFonts w:ascii="Times New Roman"/>
          <w:b w:val="false"/>
          <w:i w:val="false"/>
          <w:color w:val="000000"/>
          <w:sz w:val="28"/>
        </w:rPr>
        <w:t>
</w:t>
      </w:r>
      <w:r>
        <w:rPr>
          <w:rFonts w:ascii="Times New Roman"/>
          <w:b w:val="false"/>
          <w:i w:val="false"/>
          <w:color w:val="000000"/>
          <w:sz w:val="28"/>
        </w:rPr>
        <w:t>
      4. До присуждения контракта на выполнение работ по соответствующей ирригационной и дренажной системе Заемщик готовит и предоставляет Банку для предварительного обзора и утверждения доклад о разработке технического проекта по каждой ирригационной и дренажной системе в рамках Компонента 1 Проекта, который должен включать: (а) описание текущего состояния ирригационной и дренажной системы, (b) описание, ведомости объемов работ, сметные затраты и экономический анализ предлагаемых работ по реабилитации и модернизации ирригационной и дренажной системы, (с) информацию о сельских потребительских кооперативах, которые расположены в пределах подпроектных зон, включая информацию об их институциональном и финансовом положении, возможностях по реализации, их планах эксплуатации и обслуживания, а также о предполагаемой плате за ирригационные услуги, и (d) другую информацию, которую Банк может обоснованно запросить.</w:t>
      </w:r>
    </w:p>
    <w:bookmarkEnd w:id="15"/>
    <w:p>
      <w:pPr>
        <w:spacing w:after="0"/>
        <w:ind w:left="0"/>
        <w:jc w:val="both"/>
      </w:pPr>
      <w:r>
        <w:rPr>
          <w:rFonts w:ascii="Times New Roman"/>
          <w:b/>
          <w:i w:val="false"/>
          <w:color w:val="000000"/>
          <w:sz w:val="28"/>
        </w:rPr>
        <w:t>      B. Мероприятия по Борьбе с Коррупцией</w:t>
      </w:r>
    </w:p>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w:t>
      </w:r>
    </w:p>
    <w:p>
      <w:pPr>
        <w:spacing w:after="0"/>
        <w:ind w:left="0"/>
        <w:jc w:val="both"/>
      </w:pPr>
      <w:r>
        <w:rPr>
          <w:rFonts w:ascii="Times New Roman"/>
          <w:b/>
          <w:i w:val="false"/>
          <w:color w:val="000000"/>
          <w:sz w:val="28"/>
        </w:rPr>
        <w:t>      C. Обеспечение безопасности</w:t>
      </w:r>
    </w:p>
    <w:bookmarkStart w:name="z33" w:id="16"/>
    <w:p>
      <w:pPr>
        <w:spacing w:after="0"/>
        <w:ind w:left="0"/>
        <w:jc w:val="both"/>
      </w:pP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изложенными в Рамочном ПУОС, ЭО для конкретных объектов, Плане обеспечения безопасности плотин и применяемых Планах обеспечения безопасности плотин для конкретных объектов, и не передает, не вносит изменения, не отменяет или не отказывается от каких-либо положений Рамочного ПУОС, ЭО для конкретных объектов, Плана обеспечения безопасности плотин, или применяемых Планов обеспечения безопасности плотин для конкретных объектов без предварительного утверждения Банком.</w:t>
      </w:r>
      <w:r>
        <w:br/>
      </w:r>
      <w:r>
        <w:rPr>
          <w:rFonts w:ascii="Times New Roman"/>
          <w:b w:val="false"/>
          <w:i w:val="false"/>
          <w:color w:val="000000"/>
          <w:sz w:val="28"/>
        </w:rPr>
        <w:t>
</w:t>
      </w:r>
      <w:r>
        <w:rPr>
          <w:rFonts w:ascii="Times New Roman"/>
          <w:b w:val="false"/>
          <w:i w:val="false"/>
          <w:color w:val="000000"/>
          <w:sz w:val="28"/>
        </w:rPr>
        <w:t>
      2. До начала каких-либо строительных работ в рамках Компонента 1 Проекта Заемщиком готовится ЭО по каждому объекту в виде, удовлетворительном для Банка.</w:t>
      </w:r>
      <w:r>
        <w:br/>
      </w:r>
      <w:r>
        <w:rPr>
          <w:rFonts w:ascii="Times New Roman"/>
          <w:b w:val="false"/>
          <w:i w:val="false"/>
          <w:color w:val="000000"/>
          <w:sz w:val="28"/>
        </w:rPr>
        <w:t>
</w:t>
      </w:r>
      <w:r>
        <w:rPr>
          <w:rFonts w:ascii="Times New Roman"/>
          <w:b w:val="false"/>
          <w:i w:val="false"/>
          <w:color w:val="000000"/>
          <w:sz w:val="28"/>
        </w:rPr>
        <w:t>
      3. До начала каких-либо строительных работ в рамках Компонента 1(a) Проекта, если применимо в соответствии с руководящими принципами, установленными в Руководстве по реализации Проекта, Заемщиком разрабатывается План обеспечения безопасности плотин для конкретных объектов в виде, удовлетворительном для Банка.</w:t>
      </w:r>
      <w:r>
        <w:br/>
      </w:r>
      <w:r>
        <w:rPr>
          <w:rFonts w:ascii="Times New Roman"/>
          <w:b w:val="false"/>
          <w:i w:val="false"/>
          <w:color w:val="000000"/>
          <w:sz w:val="28"/>
        </w:rPr>
        <w:t>
</w:t>
      </w:r>
      <w:r>
        <w:rPr>
          <w:rFonts w:ascii="Times New Roman"/>
          <w:b w:val="false"/>
          <w:i w:val="false"/>
          <w:color w:val="000000"/>
          <w:sz w:val="28"/>
        </w:rPr>
        <w:t>
      4. Заемщик обеспечивает своевременное выполнение всех мероприятий, определенных и описанных в ЭО для конкретных объектов и Планах обеспечения безопасности плотин для конкретных объектов.</w:t>
      </w:r>
      <w:r>
        <w:br/>
      </w:r>
      <w:r>
        <w:rPr>
          <w:rFonts w:ascii="Times New Roman"/>
          <w:b w:val="false"/>
          <w:i w:val="false"/>
          <w:color w:val="000000"/>
          <w:sz w:val="28"/>
        </w:rPr>
        <w:t>
</w:t>
      </w:r>
      <w:r>
        <w:rPr>
          <w:rFonts w:ascii="Times New Roman"/>
          <w:b w:val="false"/>
          <w:i w:val="false"/>
          <w:color w:val="000000"/>
          <w:sz w:val="28"/>
        </w:rPr>
        <w:t>
      5. Для реализации Компонента 1 Проекта изъятие земель в рамках Проекта с последующим переселением не предусматривается.</w:t>
      </w:r>
    </w:p>
    <w:bookmarkEnd w:id="16"/>
    <w:bookmarkStart w:name="z38"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rPr>
          <w:rFonts w:ascii="Times New Roman"/>
          <w:b w:val="false"/>
          <w:i w:val="false"/>
          <w:color w:val="000000"/>
          <w:sz w:val="28"/>
          <w:u w:val="single"/>
        </w:rPr>
        <w:t>Отчетность по мониторингу и оценка Проекта</w:t>
      </w:r>
    </w:p>
    <w:bookmarkEnd w:id="17"/>
    <w:p>
      <w:pPr>
        <w:spacing w:after="0"/>
        <w:ind w:left="0"/>
        <w:jc w:val="both"/>
      </w:pPr>
      <w:r>
        <w:rPr>
          <w:rFonts w:ascii="Times New Roman"/>
          <w:b/>
          <w:i w:val="false"/>
          <w:color w:val="000000"/>
          <w:sz w:val="28"/>
        </w:rPr>
        <w:t>      А. Отчеты по Проекту</w:t>
      </w:r>
    </w:p>
    <w:bookmarkStart w:name="z40" w:id="18"/>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в один календарный квартал и будет предоставлен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В течение трех лет после вступления в силу Заемщик совместно с Банком проводит среднесрочный обзор хода реализации Проекта (далее «Среднесрочный обзор»). В среднесрочные обзоры, помимо всего прочего, будет входит следующее:</w:t>
      </w:r>
      <w:r>
        <w:br/>
      </w:r>
      <w:r>
        <w:rPr>
          <w:rFonts w:ascii="Times New Roman"/>
          <w:b w:val="false"/>
          <w:i w:val="false"/>
          <w:color w:val="000000"/>
          <w:sz w:val="28"/>
        </w:rPr>
        <w:t>
      (a) прогресс в достижении цели Проекта; и</w:t>
      </w:r>
      <w:r>
        <w:br/>
      </w:r>
      <w:r>
        <w:rPr>
          <w:rFonts w:ascii="Times New Roman"/>
          <w:b w:val="false"/>
          <w:i w:val="false"/>
          <w:color w:val="000000"/>
          <w:sz w:val="28"/>
        </w:rPr>
        <w:t>
      (b) эффективность Проекта в целом в соответствии с индикаторами эффективности Проекта.</w:t>
      </w:r>
      <w:r>
        <w:br/>
      </w:r>
      <w:r>
        <w:rPr>
          <w:rFonts w:ascii="Times New Roman"/>
          <w:b w:val="false"/>
          <w:i w:val="false"/>
          <w:color w:val="000000"/>
          <w:sz w:val="28"/>
        </w:rPr>
        <w:t>
</w:t>
      </w:r>
      <w:r>
        <w:rPr>
          <w:rFonts w:ascii="Times New Roman"/>
          <w:b w:val="false"/>
          <w:i w:val="false"/>
          <w:color w:val="000000"/>
          <w:sz w:val="28"/>
        </w:rPr>
        <w:t>
      3. Заемщик подготавливает не позднее чем за 4 (четыре) недели до Среднесрочного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bookmarkEnd w:id="18"/>
    <w:p>
      <w:pPr>
        <w:spacing w:after="0"/>
        <w:ind w:left="0"/>
        <w:jc w:val="both"/>
      </w:pPr>
      <w:r>
        <w:rPr>
          <w:rFonts w:ascii="Times New Roman"/>
          <w:b/>
          <w:i w:val="false"/>
          <w:color w:val="000000"/>
          <w:sz w:val="28"/>
        </w:rPr>
        <w:t>      B. Финансовое управление, финансовая отчетность и аудит</w:t>
      </w:r>
    </w:p>
    <w:bookmarkStart w:name="z44" w:id="19"/>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bookmarkEnd w:id="19"/>
    <w:bookmarkStart w:name="z47" w:id="20"/>
    <w:p>
      <w:pPr>
        <w:spacing w:after="0"/>
        <w:ind w:left="0"/>
        <w:jc w:val="both"/>
      </w:pPr>
      <w:r>
        <w:rPr>
          <w:rFonts w:ascii="Times New Roman"/>
          <w:b w:val="false"/>
          <w:i w:val="false"/>
          <w:color w:val="000000"/>
          <w:sz w:val="28"/>
        </w:rPr>
        <w:t>
</w:t>
      </w:r>
      <w:r>
        <w:rPr>
          <w:rFonts w:ascii="Times New Roman"/>
          <w:b/>
          <w:i w:val="false"/>
          <w:color w:val="000000"/>
          <w:sz w:val="28"/>
        </w:rPr>
        <w:t>      Раздел III. Закупки</w:t>
      </w:r>
    </w:p>
    <w:bookmarkEnd w:id="20"/>
    <w:bookmarkStart w:name="z48" w:id="21"/>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Общие положения</w:t>
      </w:r>
    </w:p>
    <w:bookmarkEnd w:id="21"/>
    <w:bookmarkStart w:name="z49" w:id="22"/>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работы и неконсультационные услуги</w:t>
      </w:r>
      <w:r>
        <w:rPr>
          <w:rFonts w:ascii="Times New Roman"/>
          <w:b w:val="false"/>
          <w:i w:val="false"/>
          <w:color w:val="000000"/>
          <w:sz w:val="28"/>
        </w:rPr>
        <w:t>. Все товары, работы и неконсультационные услуги, необходимые для реализации Проекта и финансируемые за счет средств Займа, закупаются в соответствии с требованиями, изложенными или на которые имеются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Все услуги консультантов, необходимые для Проекта и финансируемые за счет средств Займа, закупаются в соответствии с требованиями, изложенными или на которые имеются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отбору и найму консультантов, в зависимости от конкретного случая.</w:t>
      </w:r>
    </w:p>
    <w:bookmarkEnd w:id="22"/>
    <w:bookmarkStart w:name="z52" w:id="23"/>
    <w:p>
      <w:pPr>
        <w:spacing w:after="0"/>
        <w:ind w:left="0"/>
        <w:jc w:val="both"/>
      </w:pP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Специфические методы закупок товаров, работ и</w:t>
      </w:r>
      <w:r>
        <w:br/>
      </w:r>
      <w:r>
        <w:rPr>
          <w:rFonts w:ascii="Times New Roman"/>
          <w:b w:val="false"/>
          <w:i w:val="false"/>
          <w:color w:val="000000"/>
          <w:sz w:val="28"/>
        </w:rPr>
        <w:t>
         </w:t>
      </w:r>
      <w:r>
        <w:rPr>
          <w:rFonts w:ascii="Times New Roman"/>
          <w:b w:val="false"/>
          <w:i w:val="false"/>
          <w:color w:val="000000"/>
          <w:sz w:val="28"/>
          <w:u w:val="single"/>
        </w:rPr>
        <w:t>неконсультационных услуг</w:t>
      </w:r>
    </w:p>
    <w:bookmarkEnd w:id="23"/>
    <w:bookmarkStart w:name="z53" w:id="24"/>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 работ и неконсультационных услуг</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План закупок с указанием условий, при которых используется тот или иной метод.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при условии наличия дополнительных условий, предусмотренных в Дополнении к данному Приложению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Заключение контракта на прямую</w:t>
            </w:r>
          </w:p>
        </w:tc>
      </w:tr>
    </w:tbl>
    <w:bookmarkStart w:name="z55" w:id="25"/>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Специфические методы закупки услуг консультантов</w:t>
      </w:r>
    </w:p>
    <w:bookmarkEnd w:id="25"/>
    <w:bookmarkStart w:name="z56" w:id="26"/>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на основе качества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Отбор по наименьшей стоимости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Закупки из одного источника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пунктах 5.2 и 5.3 Руководства по отбору индивидуальных консультантов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Процедуры по одному источнику для отбора индивидуальных консультантов</w:t>
            </w:r>
          </w:p>
        </w:tc>
      </w:tr>
    </w:tbl>
    <w:bookmarkStart w:name="z58" w:id="27"/>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27"/>
    <w:p>
      <w:pPr>
        <w:spacing w:after="0"/>
        <w:ind w:left="0"/>
        <w:jc w:val="both"/>
      </w:pPr>
      <w:r>
        <w:rPr>
          <w:rFonts w:ascii="Times New Roman"/>
          <w:b w:val="false"/>
          <w:i w:val="false"/>
          <w:color w:val="000000"/>
          <w:sz w:val="28"/>
        </w:rPr>
        <w:t>В Плане закупок указывается перечень контрактов, которые подлежат Предварительному рассмотрению Банком. Все другие контракты подлежат рассмотрению Банком постфактум.</w:t>
      </w:r>
    </w:p>
    <w:bookmarkStart w:name="z59" w:id="2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bookmarkEnd w:id="28"/>
    <w:bookmarkStart w:name="z60" w:id="29"/>
    <w:p>
      <w:pPr>
        <w:spacing w:after="0"/>
        <w:ind w:left="0"/>
        <w:jc w:val="both"/>
      </w:pPr>
      <w:r>
        <w:rPr>
          <w:rFonts w:ascii="Times New Roman"/>
          <w:b w:val="false"/>
          <w:i w:val="false"/>
          <w:color w:val="000000"/>
          <w:sz w:val="28"/>
        </w:rPr>
        <w:t>
      </w:t>
      </w:r>
      <w:r>
        <w:rPr>
          <w:rFonts w:ascii="Times New Roman"/>
          <w:b/>
          <w:i w:val="false"/>
          <w:color w:val="000000"/>
          <w:sz w:val="28"/>
        </w:rPr>
        <w:t>А. Общие вопросы</w:t>
      </w:r>
    </w:p>
    <w:bookmarkEnd w:id="29"/>
    <w:bookmarkStart w:name="z61" w:id="30"/>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в пункте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5"/>
        <w:gridCol w:w="3838"/>
        <w:gridCol w:w="1827"/>
      </w:tblGrid>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Выделенная сумма Займа (в долларовом эквиваленте)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подлежащая финансированию (включая налоги)</w:t>
            </w:r>
          </w:p>
        </w:tc>
      </w:tr>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Работы в рамках Компонента 1 Проекта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услуги консультантов, неконсультационные услуги, обучение и эксплуатационные расходы в рамках Компонентов 1, 2, 3 и 4 Проекта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102 902 440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«Эксплуатационные расходы» означают приростные эксплуатационные затраты, понесенные КВР в связи с реализацией, управлением и мониторингом Проекта, утвержденного Банком на основе бюджетов, приемлемых для Банка, которые не были бы понесены при отсутствии Проекта, и включают, среди прочего: (i) затраты на зарплату сотрудников ГУП, (ii) обслуживание и эксплуатацию оборудования и транспортных средств, закупленных или используемых для управления Проектом, (iii) транспортные и командировочные расходы, (iv) расходные канцелярские товары, (v) связь, распечатка и публикации, (vi) устный и письменный перевод, (vii) эксплуатационные расходы центров по обслуживанию фермеров, (viii) эксплуатационные расходы демонстрационных участков, созданных в рамках Части 3 (a)(i) Проекта, (ix) эксплуатационные расходы на технику по техническому содержанию ирригационных систем в рамках Части 3 (b) Проекта, (х) банковскую комиссию; и прочие расходы, которые могут периодически согласовываться с Банком.</w:t>
      </w:r>
      <w:r>
        <w:br/>
      </w:r>
      <w:r>
        <w:rPr>
          <w:rFonts w:ascii="Times New Roman"/>
          <w:b w:val="false"/>
          <w:i w:val="false"/>
          <w:color w:val="000000"/>
          <w:sz w:val="28"/>
        </w:rPr>
        <w:t>
      «Обучение» означает мероприятия по обучению (помимо услуг консультантов), которые должны проводиться в рамках Проекта с одобрения Банка на основе ежегодных приемлемых для Банка планов обучения и проведения стажировок, включая обоснованные и необходимые расходы на поездки внутри страны и международные поездки и визы, которые несут участники во время обучающих семинаров, а также расходы на проживание, питание, командировочные расходы для внутренних и международных поездок в соответствии с правилами Заемщика, регистрацию, оплату за обучение и услуги кураторов, несущественные организационные расходы (включая стоимость канцелярских товаров, раздаточных и учебных материалов), стоимость письменного и устного перевода, расходы на аренду помещений и прочие расходы, напрямую связанные с обучающими семинарами и стажировками по согласованию с Заемщиком.</w:t>
      </w:r>
    </w:p>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p>
    <w:bookmarkEnd w:id="31"/>
    <w:bookmarkStart w:name="z64" w:id="32"/>
    <w:p>
      <w:pPr>
        <w:spacing w:after="0"/>
        <w:ind w:left="0"/>
        <w:jc w:val="both"/>
      </w:pPr>
      <w:r>
        <w:rPr>
          <w:rFonts w:ascii="Times New Roman"/>
          <w:b w:val="false"/>
          <w:i w:val="false"/>
          <w:color w:val="000000"/>
          <w:sz w:val="28"/>
        </w:rPr>
        <w:t>
      1. Независимо от положений Компонента А данного Раздела, средства не могут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(c) в рамках Категории 1, пока Заемщик не подготовит ЭО и, там где это необходимо, План обеспечения безопасности плотин для участка, в отношении которого была подана заявка на снятие средств.</w:t>
      </w:r>
      <w:r>
        <w:br/>
      </w:r>
      <w:r>
        <w:rPr>
          <w:rFonts w:ascii="Times New Roman"/>
          <w:b w:val="false"/>
          <w:i w:val="false"/>
          <w:color w:val="000000"/>
          <w:sz w:val="28"/>
        </w:rPr>
        <w:t>
</w:t>
      </w:r>
      <w:r>
        <w:rPr>
          <w:rFonts w:ascii="Times New Roman"/>
          <w:b w:val="false"/>
          <w:i w:val="false"/>
          <w:color w:val="000000"/>
          <w:sz w:val="28"/>
        </w:rPr>
        <w:t>
      2. Дата закрытия - 31 декабря 2021 года.</w:t>
      </w:r>
    </w:p>
    <w:bookmarkEnd w:id="32"/>
    <w:bookmarkStart w:name="z66" w:id="33"/>
    <w:p>
      <w:pPr>
        <w:spacing w:after="0"/>
        <w:ind w:left="0"/>
        <w:jc w:val="left"/>
      </w:pPr>
      <w:r>
        <w:rPr>
          <w:rFonts w:ascii="Times New Roman"/>
          <w:b/>
          <w:i w:val="false"/>
          <w:color w:val="000000"/>
        </w:rPr>
        <w:t xml:space="preserve"> 
Дополнение</w:t>
      </w:r>
      <w:r>
        <w:br/>
      </w:r>
      <w:r>
        <w:rPr>
          <w:rFonts w:ascii="Times New Roman"/>
          <w:b/>
          <w:i w:val="false"/>
          <w:color w:val="000000"/>
        </w:rPr>
        <w:t>
К ПРИЛОЖЕНИЮ 2</w:t>
      </w:r>
    </w:p>
    <w:bookmarkEnd w:id="33"/>
    <w:p>
      <w:pPr>
        <w:spacing w:after="0"/>
        <w:ind w:left="0"/>
        <w:jc w:val="both"/>
      </w:pPr>
      <w:r>
        <w:rPr>
          <w:rFonts w:ascii="Times New Roman"/>
          <w:b w:val="false"/>
          <w:i w:val="false"/>
          <w:color w:val="000000"/>
          <w:sz w:val="28"/>
        </w:rPr>
        <w:t>      Процедурой закупки, выполняемой в рамках Национальных конкурсных торгов, являются «Государственные закупки путем проведения торгов», установленные в </w:t>
      </w:r>
      <w:r>
        <w:rPr>
          <w:rFonts w:ascii="Times New Roman"/>
          <w:b w:val="false"/>
          <w:i w:val="false"/>
          <w:color w:val="000000"/>
          <w:sz w:val="28"/>
        </w:rPr>
        <w:t>Законе</w:t>
      </w:r>
      <w:r>
        <w:rPr>
          <w:rFonts w:ascii="Times New Roman"/>
          <w:b w:val="false"/>
          <w:i w:val="false"/>
          <w:color w:val="000000"/>
          <w:sz w:val="28"/>
        </w:rPr>
        <w:t xml:space="preserve"> Заемщика «О государственных закупках» № 303-III от 21 июля 2007 года с изменениями от 8 января 2013 года за №. 63-V, однако при условии, что данные процедуры соблюдают положения Раздела I, пунктов 3.3 и 3.4 Раздела III и Приложения 1 Руководства по закупкам, а также нижеперечисленные дополнительные положения:</w:t>
      </w:r>
      <w:r>
        <w:br/>
      </w:r>
      <w:r>
        <w:rPr>
          <w:rFonts w:ascii="Times New Roman"/>
          <w:b w:val="false"/>
          <w:i w:val="false"/>
          <w:color w:val="000000"/>
          <w:sz w:val="28"/>
        </w:rPr>
        <w:t>
      (а) Правомочность: Правомочность участников торгов на участие в процессе закупок и присвоение им финансируемого Банком контракта определяется Разделом I Руководства по закупкам; следовательно, участник торгов или потенциальный участник торгов не признается неправомочным в получении финансируемого Банком контракта за исключением случаев, изложенных в Разделе I Руководства по закупкам. Иностранные участники допускаются к участию в национальных конкурсных торгах, и иностранным участникам не могут выдвигаться требования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Участие в конкурсных торгах не может быть открыто только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w:t>
      </w:r>
      <w:r>
        <w:br/>
      </w:r>
      <w:r>
        <w:rPr>
          <w:rFonts w:ascii="Times New Roman"/>
          <w:b w:val="false"/>
          <w:i w:val="false"/>
          <w:color w:val="000000"/>
          <w:sz w:val="28"/>
        </w:rPr>
        <w:t>
      (c) Преференции: В ходе оценки конкурсных предложений какие-либо преференции на основании национальности участника торгов, происхождения товаров, услуг или рабочей силы, местного содержания, степени участия граждан, и / или любых других преференциальных программ не предоставляются.</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Банка.</w:t>
      </w:r>
      <w:r>
        <w:br/>
      </w:r>
      <w:r>
        <w:rPr>
          <w:rFonts w:ascii="Times New Roman"/>
          <w:b w:val="false"/>
          <w:i w:val="false"/>
          <w:color w:val="000000"/>
          <w:sz w:val="28"/>
        </w:rPr>
        <w:t>
      (e) Смета расходов: Смета расходов по закупкам является конфиденциальной информацией и не подлежит раскрытию потенциальным участникам торгов.</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продления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с учетом контрактов, подлежащих предварительному анализу со стороны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выполнения строительных работ и / или производственных помещений.</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определяются количественно в денежном выражении. При оценке конкурсных предложений балльная система и группировка не применяются, а также значению цены не присваивается ни минимальное, ни процентное значение. Участники торгов не исключаются по причине несущественных и незначительных отклонений.</w:t>
      </w:r>
      <w:r>
        <w:br/>
      </w:r>
      <w:r>
        <w:rPr>
          <w:rFonts w:ascii="Times New Roman"/>
          <w:b w:val="false"/>
          <w:i w:val="false"/>
          <w:color w:val="000000"/>
          <w:sz w:val="28"/>
        </w:rPr>
        <w:t>
      (l) Контракты присуждаются участнику торгов, прошедшему квалификацию, чье конкурсное предложение: (i) в значительной степени соответствует тендерной документации, и (ii) предлагает наименьшую оцененную стоимость. Обсуждение цены или сути конкурсного предложения не предусмотрено.</w:t>
      </w:r>
      <w:r>
        <w:br/>
      </w:r>
      <w:r>
        <w:rPr>
          <w:rFonts w:ascii="Times New Roman"/>
          <w:b w:val="false"/>
          <w:i w:val="false"/>
          <w:color w:val="000000"/>
          <w:sz w:val="28"/>
        </w:rPr>
        <w:t>
      (m) Отклонение или запрос новых заявок: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конфиденциальными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исполнением контрактов.</w:t>
      </w:r>
    </w:p>
    <w:bookmarkStart w:name="z67" w:id="34"/>
    <w:p>
      <w:pPr>
        <w:spacing w:after="0"/>
        <w:ind w:left="0"/>
        <w:jc w:val="left"/>
      </w:pPr>
      <w:r>
        <w:rPr>
          <w:rFonts w:ascii="Times New Roman"/>
          <w:b/>
          <w:i w:val="false"/>
          <w:color w:val="000000"/>
        </w:rPr>
        <w:t xml:space="preserve"> 
ПРИЛОЖЕНИЕ 3 График погашения</w:t>
      </w:r>
    </w:p>
    <w:bookmarkEnd w:id="34"/>
    <w:bookmarkStart w:name="z68" w:id="35"/>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5"/>
        <w:gridCol w:w="2395"/>
      </w:tblGrid>
      <w:tr>
        <w:trPr>
          <w:trHeight w:val="30" w:hRule="atLeast"/>
        </w:trPr>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выплаты основной суммы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Очередной взнос</w:t>
            </w:r>
            <w:r>
              <w:br/>
            </w:r>
            <w:r>
              <w:rPr>
                <w:rFonts w:ascii="Times New Roman"/>
                <w:b w:val="false"/>
                <w:i w:val="false"/>
                <w:color w:val="000000"/>
                <w:sz w:val="20"/>
              </w:rPr>
              <w:t>
</w:t>
            </w:r>
            <w:r>
              <w:rPr>
                <w:rFonts w:ascii="Times New Roman"/>
                <w:b w:val="false"/>
                <w:i w:val="false"/>
                <w:color w:val="000000"/>
                <w:sz w:val="20"/>
              </w:rPr>
              <w:t>(в %)</w:t>
            </w:r>
          </w:p>
        </w:tc>
      </w:tr>
      <w:tr>
        <w:trPr>
          <w:trHeight w:val="30" w:hRule="atLeast"/>
        </w:trPr>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июня и 15 декабря</w:t>
            </w:r>
            <w:r>
              <w:br/>
            </w:r>
            <w:r>
              <w:rPr>
                <w:rFonts w:ascii="Times New Roman"/>
                <w:b w:val="false"/>
                <w:i w:val="false"/>
                <w:color w:val="000000"/>
                <w:sz w:val="20"/>
              </w:rPr>
              <w:t>
</w:t>
            </w:r>
            <w:r>
              <w:rPr>
                <w:rFonts w:ascii="Times New Roman"/>
                <w:b w:val="false"/>
                <w:i w:val="false"/>
                <w:color w:val="000000"/>
                <w:sz w:val="20"/>
              </w:rPr>
              <w:t>Начиная с 15 декабря 2021 года по 15 июня 2031 года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9" w:id="36"/>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данного Приложения.</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w:t>
      </w:r>
      <w:r>
        <w:rPr>
          <w:rFonts w:ascii="Times New Roman"/>
          <w:b w:val="false"/>
          <w:i w:val="false"/>
          <w:color w:val="000000"/>
          <w:sz w:val="28"/>
        </w:rPr>
        <w:t>пункта 1</w:t>
      </w:r>
      <w:r>
        <w:rPr>
          <w:rFonts w:ascii="Times New Roman"/>
          <w:b w:val="false"/>
          <w:i w:val="false"/>
          <w:color w:val="000000"/>
          <w:sz w:val="28"/>
        </w:rPr>
        <w:t xml:space="preserve">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w:t>
      </w:r>
      <w:r>
        <w:br/>
      </w:r>
      <w:r>
        <w:rPr>
          <w:rFonts w:ascii="Times New Roman"/>
          <w:b w:val="false"/>
          <w:i w:val="false"/>
          <w:color w:val="000000"/>
          <w:sz w:val="28"/>
        </w:rPr>
        <w:t>
</w:t>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номинированным суммам в каждой из валют займа, а также для расчета отдельных графиков погашения для каждой из сумм.</w:t>
      </w:r>
    </w:p>
    <w:bookmarkEnd w:id="36"/>
    <w:bookmarkStart w:name="z72" w:id="37"/>
    <w:p>
      <w:pPr>
        <w:spacing w:after="0"/>
        <w:ind w:left="0"/>
        <w:jc w:val="left"/>
      </w:pPr>
      <w:r>
        <w:rPr>
          <w:rFonts w:ascii="Times New Roman"/>
          <w:b/>
          <w:i w:val="false"/>
          <w:color w:val="000000"/>
        </w:rPr>
        <w:t xml:space="preserve"> 
ПРИЛОЖЕНИЕ</w:t>
      </w:r>
    </w:p>
    <w:bookmarkEnd w:id="37"/>
    <w:bookmarkStart w:name="z73" w:id="38"/>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bookmarkEnd w:id="38"/>
    <w:bookmarkStart w:name="z74" w:id="39"/>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январе 2011 г.</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описанную в таблице в Разделе IV Приложения 4 к настоящему Соглашению.</w:t>
      </w:r>
      <w:r>
        <w:br/>
      </w:r>
      <w:r>
        <w:rPr>
          <w:rFonts w:ascii="Times New Roman"/>
          <w:b w:val="false"/>
          <w:i w:val="false"/>
          <w:color w:val="000000"/>
          <w:sz w:val="28"/>
        </w:rPr>
        <w:t>
</w:t>
      </w:r>
      <w:r>
        <w:rPr>
          <w:rFonts w:ascii="Times New Roman"/>
          <w:b w:val="false"/>
          <w:i w:val="false"/>
          <w:color w:val="000000"/>
          <w:sz w:val="28"/>
        </w:rPr>
        <w:t>
      3. «Руководство по выбору консультанта» означает «Руководство: Отбор и наем консультантов в рамках займов МБРР и кредитов и кредитов МАР и грантов Всемирного банка Заемщиками», выпущенного в январе 2011 года.</w:t>
      </w:r>
      <w:r>
        <w:br/>
      </w:r>
      <w:r>
        <w:rPr>
          <w:rFonts w:ascii="Times New Roman"/>
          <w:b w:val="false"/>
          <w:i w:val="false"/>
          <w:color w:val="000000"/>
          <w:sz w:val="28"/>
        </w:rPr>
        <w:t>
</w:t>
      </w:r>
      <w:r>
        <w:rPr>
          <w:rFonts w:ascii="Times New Roman"/>
          <w:b w:val="false"/>
          <w:i w:val="false"/>
          <w:color w:val="000000"/>
          <w:sz w:val="28"/>
        </w:rPr>
        <w:t>
      4. «КВР» означает Комитет по водным ресурсам, созданный Министерством окружающей среды и водных ресурсов Заемщика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от 16 января 2013 года № 466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25 февраля 2013 года № 172, или любой его правопреемник.</w:t>
      </w:r>
      <w:r>
        <w:br/>
      </w:r>
      <w:r>
        <w:rPr>
          <w:rFonts w:ascii="Times New Roman"/>
          <w:b w:val="false"/>
          <w:i w:val="false"/>
          <w:color w:val="000000"/>
          <w:sz w:val="28"/>
        </w:rPr>
        <w:t>
</w:t>
      </w:r>
      <w:r>
        <w:rPr>
          <w:rFonts w:ascii="Times New Roman"/>
          <w:b w:val="false"/>
          <w:i w:val="false"/>
          <w:color w:val="000000"/>
          <w:sz w:val="28"/>
        </w:rPr>
        <w:t>
      5. «План обеспечения безопасности плотин» означает детальный план от 1 декабря 2007 года, в котором описаны приоритетные меры по обеспечению безопасности, подлежащие выполнению в ходе реабилитации каждой ирригационной плотины в рамках Компонента 1 Проекта, включая детальное исследование их характеристик и вопросов безопасности, а также институциональных механизмов эксплуатации и обслуживания каждой такой плотины.</w:t>
      </w:r>
      <w:r>
        <w:br/>
      </w:r>
      <w:r>
        <w:rPr>
          <w:rFonts w:ascii="Times New Roman"/>
          <w:b w:val="false"/>
          <w:i w:val="false"/>
          <w:color w:val="000000"/>
          <w:sz w:val="28"/>
        </w:rPr>
        <w:t>
</w:t>
      </w:r>
      <w:r>
        <w:rPr>
          <w:rFonts w:ascii="Times New Roman"/>
          <w:b w:val="false"/>
          <w:i w:val="false"/>
          <w:color w:val="000000"/>
          <w:sz w:val="28"/>
        </w:rPr>
        <w:t>
      6. «План обеспечения безопасности плотин для конкретного участка» означает план по конкретному объекту, составленный Заемщиком и удовлетворительный для Банка, подтверждающий, что все мероприятия по обеспечению безопасности плотин выполнены надлежащим образом Заемщиком.</w:t>
      </w:r>
      <w:r>
        <w:br/>
      </w:r>
      <w:r>
        <w:rPr>
          <w:rFonts w:ascii="Times New Roman"/>
          <w:b w:val="false"/>
          <w:i w:val="false"/>
          <w:color w:val="000000"/>
          <w:sz w:val="28"/>
        </w:rPr>
        <w:t>
</w:t>
      </w:r>
      <w:r>
        <w:rPr>
          <w:rFonts w:ascii="Times New Roman"/>
          <w:b w:val="false"/>
          <w:i w:val="false"/>
          <w:color w:val="000000"/>
          <w:sz w:val="28"/>
        </w:rPr>
        <w:t>
      7. «ЭО», или экологическая оценка, означает обследование конкретного объекта, удовлетворительное для Банка, которое должно быть проведено Заемщиком в соответствии с Разделом I.C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в отношении работ, которые будут проводиться Заемщиком в рамках Части 1 Проекта, и которая, среди прочего, включает: (i) описание участка, где будут проводиться мероприятия Проекта, (ii) потенциальное и фактическое неблагоприятное социальное и экологическое воздействие мероприятий, указанных в параграфе (i) выше, и (iii) ПУОС для участка, в котором описаны меры по снижению экологических последствий, мониторинг, а также институциональные меры, которые необходимо провести на участке в соответствии с ЭО и рамочным ПУОС; и «ЭО» означает больше одной ЭО.</w:t>
      </w:r>
      <w:r>
        <w:br/>
      </w:r>
      <w:r>
        <w:rPr>
          <w:rFonts w:ascii="Times New Roman"/>
          <w:b w:val="false"/>
          <w:i w:val="false"/>
          <w:color w:val="000000"/>
          <w:sz w:val="28"/>
        </w:rPr>
        <w:t>
</w:t>
      </w:r>
      <w:r>
        <w:rPr>
          <w:rFonts w:ascii="Times New Roman"/>
          <w:b w:val="false"/>
          <w:i w:val="false"/>
          <w:color w:val="000000"/>
          <w:sz w:val="28"/>
        </w:rPr>
        <w:t>
      8. «ПУОС» означает план управления окружающей средой, удовлетворительный для Банка, который должен быть подготовлен Заемщиком как часть ЭО для конкретного объекта в соответствии с Разделом I.C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и «ПУОС» означает больше одного ПУОС.</w:t>
      </w:r>
      <w:r>
        <w:br/>
      </w:r>
      <w:r>
        <w:rPr>
          <w:rFonts w:ascii="Times New Roman"/>
          <w:b w:val="false"/>
          <w:i w:val="false"/>
          <w:color w:val="000000"/>
          <w:sz w:val="28"/>
        </w:rPr>
        <w:t>
</w:t>
      </w:r>
      <w:r>
        <w:rPr>
          <w:rFonts w:ascii="Times New Roman"/>
          <w:b w:val="false"/>
          <w:i w:val="false"/>
          <w:color w:val="000000"/>
          <w:sz w:val="28"/>
        </w:rPr>
        <w:t>
      9. «Рамочный ПУОС», подготовленный Заемщиком, означает рамочный план по экологическому и социальному управлению, озаглавленный «Планом Управления Окружающей Средой», удовлетворительный для Банка от 1 декабря 2007 года, с поправками от 27 мая 2013 года и повторно опубликованный на сайте КВР 10 июля 2013 года и на сайте Банка Infoshop 7 июня 2013 года, содержит указания и процедуры по оценке экологического воздействия, снижению или компенсации негативного экологического воздействия, связанного с реализацией мероприятий Проекта вместе с адекватными институциональными механизмами, механизмами мониторинга и отчетности, способными обеспечить надлежащее выполнение условий и регулярное информирование об их соблюдении. В План периодически могут вноситься изменения и дополнения с предварительного письменного согласия Банка.</w:t>
      </w:r>
      <w:r>
        <w:br/>
      </w:r>
      <w:r>
        <w:rPr>
          <w:rFonts w:ascii="Times New Roman"/>
          <w:b w:val="false"/>
          <w:i w:val="false"/>
          <w:color w:val="000000"/>
          <w:sz w:val="28"/>
        </w:rPr>
        <w:t>
</w:t>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w:t>
      </w:r>
      <w:r>
        <w:rPr>
          <w:rFonts w:ascii="Times New Roman"/>
          <w:b w:val="false"/>
          <w:i w:val="false"/>
          <w:color w:val="000000"/>
          <w:sz w:val="28"/>
        </w:rPr>
        <w:t>
      11. «Руководство по реализации Проекта» означает руководство, удовлетворительное для Банка, подготовленное Заемщиком согласно Разделу 4.01 (а) данного Соглашения, и устанавливающее функциональные и административные обязанности, процедуры и нормы по реализации Проекта, включая руководство по финансовым процедурам и план реализации, критерии по отбору под-проектов и план счетов, соответствующее положениям настоящего Соглашения и национальному законодательству Заемщика, в которое с заблаговременного письменного согласия Банка могут время от времени вноситься необходимые изменения и дополнения.</w:t>
      </w:r>
      <w:r>
        <w:br/>
      </w:r>
      <w:r>
        <w:rPr>
          <w:rFonts w:ascii="Times New Roman"/>
          <w:b w:val="false"/>
          <w:i w:val="false"/>
          <w:color w:val="000000"/>
          <w:sz w:val="28"/>
        </w:rPr>
        <w:t>
</w:t>
      </w:r>
      <w:r>
        <w:rPr>
          <w:rFonts w:ascii="Times New Roman"/>
          <w:b w:val="false"/>
          <w:i w:val="false"/>
          <w:color w:val="000000"/>
          <w:sz w:val="28"/>
        </w:rPr>
        <w:t>
      12. «ГУП» означает Группа управления проектом, которая будет создана при КВР в соответствии с разделом 4.01 (b) настоящего Соглашения и будет отвечать за оперативное управление Проектом.</w:t>
      </w:r>
      <w:r>
        <w:br/>
      </w:r>
      <w:r>
        <w:rPr>
          <w:rFonts w:ascii="Times New Roman"/>
          <w:b w:val="false"/>
          <w:i w:val="false"/>
          <w:color w:val="000000"/>
          <w:sz w:val="28"/>
        </w:rPr>
        <w:t>
</w:t>
      </w: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выпущенного в январе 2011 года.</w:t>
      </w:r>
      <w:r>
        <w:br/>
      </w:r>
      <w:r>
        <w:rPr>
          <w:rFonts w:ascii="Times New Roman"/>
          <w:b w:val="false"/>
          <w:i w:val="false"/>
          <w:color w:val="000000"/>
          <w:sz w:val="28"/>
        </w:rPr>
        <w:t>
</w:t>
      </w:r>
      <w:r>
        <w:rPr>
          <w:rFonts w:ascii="Times New Roman"/>
          <w:b w:val="false"/>
          <w:i w:val="false"/>
          <w:color w:val="000000"/>
          <w:sz w:val="28"/>
        </w:rPr>
        <w:t>
      14. «План закупок» означает план закупок Заемщика для Проекта от 15 мая 2013 года, который упоминается в параграфе 1.18 Руководства по закупкам и параграфе 1.25 Руководства по выбору консультанта, который периодически обновляется в соответствии с положениями указанных параграфов.</w:t>
      </w:r>
      <w:r>
        <w:br/>
      </w:r>
      <w:r>
        <w:rPr>
          <w:rFonts w:ascii="Times New Roman"/>
          <w:b w:val="false"/>
          <w:i w:val="false"/>
          <w:color w:val="000000"/>
          <w:sz w:val="28"/>
        </w:rPr>
        <w:t>
</w:t>
      </w:r>
      <w:r>
        <w:rPr>
          <w:rFonts w:ascii="Times New Roman"/>
          <w:b w:val="false"/>
          <w:i w:val="false"/>
          <w:color w:val="000000"/>
          <w:sz w:val="28"/>
        </w:rPr>
        <w:t>
      15. «Министерство окружающей среды и водных ресурсов» означает Министерство окружающей среды и водных ресурсов Заемщика или любого его правопреемника.</w:t>
      </w:r>
      <w:r>
        <w:br/>
      </w:r>
      <w:r>
        <w:rPr>
          <w:rFonts w:ascii="Times New Roman"/>
          <w:b w:val="false"/>
          <w:i w:val="false"/>
          <w:color w:val="000000"/>
          <w:sz w:val="28"/>
        </w:rPr>
        <w:t>
</w:t>
      </w:r>
      <w:r>
        <w:rPr>
          <w:rFonts w:ascii="Times New Roman"/>
          <w:b w:val="false"/>
          <w:i w:val="false"/>
          <w:color w:val="000000"/>
          <w:sz w:val="28"/>
        </w:rPr>
        <w:t>
      16. «Переселение» означает (i) принудительное изъятие земли, включая все, что на ней растет или сооружено без возможности демонтажа, как-то - здания и посев, приводящее к: (А) переезду или потере крова; (В) потере имущества или потере доступа к имуществу; или (С) потере источника дохода или средств к существованию, вне зависимости от необходимости смены затронутыми лицами места жительства; либо (ii) принудительное ограничение доступа к законодательно закрепленным паркам и природоохранным зонам, оказывающее отрицательное воздействие на жизнедеятельность затронутых лиц, и включающее ограничение по использованию ресурсов в отношении лиц, проживающих за пределами парка или природоохранных зон, или тех, кто проживает на территории парка или природоохранных зон во время и после реализации Проекта.</w:t>
      </w:r>
    </w:p>
    <w:bookmarkEnd w:id="39"/>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 на английском языке, совершенного 29апреля 2014 года в Астане.</w:t>
      </w:r>
    </w:p>
    <w:p>
      <w:pPr>
        <w:spacing w:after="0"/>
        <w:ind w:left="0"/>
        <w:jc w:val="both"/>
      </w:pPr>
      <w:r>
        <w:rPr>
          <w:rFonts w:ascii="Times New Roman"/>
          <w:b w:val="false"/>
          <w:i/>
          <w:color w:val="000000"/>
          <w:sz w:val="28"/>
        </w:rPr>
        <w:t>      Руководитель Управления</w:t>
      </w:r>
      <w:r>
        <w:br/>
      </w:r>
      <w:r>
        <w:rPr>
          <w:rFonts w:ascii="Times New Roman"/>
          <w:b w:val="false"/>
          <w:i w:val="false"/>
          <w:color w:val="000000"/>
          <w:sz w:val="28"/>
        </w:rPr>
        <w:t>
</w:t>
      </w:r>
      <w:r>
        <w:rPr>
          <w:rFonts w:ascii="Times New Roman"/>
          <w:b w:val="false"/>
          <w:i/>
          <w:color w:val="000000"/>
          <w:sz w:val="28"/>
        </w:rPr>
        <w:t>      государственного языка и</w:t>
      </w:r>
      <w:r>
        <w:br/>
      </w:r>
      <w:r>
        <w:rPr>
          <w:rFonts w:ascii="Times New Roman"/>
          <w:b w:val="false"/>
          <w:i w:val="false"/>
          <w:color w:val="000000"/>
          <w:sz w:val="28"/>
        </w:rPr>
        <w:t>
</w:t>
      </w:r>
      <w:r>
        <w:rPr>
          <w:rFonts w:ascii="Times New Roman"/>
          <w:b w:val="false"/>
          <w:i/>
          <w:color w:val="000000"/>
          <w:sz w:val="28"/>
        </w:rPr>
        <w:t>      редактирования Департамента</w:t>
      </w:r>
      <w:r>
        <w:br/>
      </w:r>
      <w:r>
        <w:rPr>
          <w:rFonts w:ascii="Times New Roman"/>
          <w:b w:val="false"/>
          <w:i w:val="false"/>
          <w:color w:val="000000"/>
          <w:sz w:val="28"/>
        </w:rPr>
        <w:t>
</w:t>
      </w:r>
      <w:r>
        <w:rPr>
          <w:rFonts w:ascii="Times New Roman"/>
          <w:b w:val="false"/>
          <w:i/>
          <w:color w:val="000000"/>
          <w:sz w:val="28"/>
        </w:rPr>
        <w:t>      обеспечения документооборота</w:t>
      </w:r>
      <w:r>
        <w:br/>
      </w:r>
      <w:r>
        <w:rPr>
          <w:rFonts w:ascii="Times New Roman"/>
          <w:b w:val="false"/>
          <w:i w:val="false"/>
          <w:color w:val="000000"/>
          <w:sz w:val="28"/>
        </w:rPr>
        <w:t>
</w:t>
      </w:r>
      <w:r>
        <w:rPr>
          <w:rFonts w:ascii="Times New Roman"/>
          <w:b w:val="false"/>
          <w:i/>
          <w:color w:val="000000"/>
          <w:sz w:val="28"/>
        </w:rPr>
        <w:t>      и контроля, развития</w:t>
      </w:r>
      <w:r>
        <w:br/>
      </w:r>
      <w:r>
        <w:rPr>
          <w:rFonts w:ascii="Times New Roman"/>
          <w:b w:val="false"/>
          <w:i w:val="false"/>
          <w:color w:val="000000"/>
          <w:sz w:val="28"/>
        </w:rPr>
        <w:t>
</w:t>
      </w:r>
      <w:r>
        <w:rPr>
          <w:rFonts w:ascii="Times New Roman"/>
          <w:b w:val="false"/>
          <w:i/>
          <w:color w:val="000000"/>
          <w:sz w:val="28"/>
        </w:rPr>
        <w:t>      государственного языка</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