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8503" w14:textId="7e88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защите секретной информации в рамках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января 2015 года № 280-V ЗРК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секретной информации в рамках Содружества Независимых Государств, совершенное в Минске 25 октября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защите секретной информации в рамках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— участники настоящего Соглашения и Содружество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защиты секретной информации при осуществлении сотрудничества в рамках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защиту секретной информации в органах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о взаимном обеспечении сохранности межгосударственных секретов от 22 января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Термины и их определения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используемые термины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«гриф секретности» — реквизит, свидетельствующий о степени секретности сведений, содержащихся в их носителе, проставляемый на носителе секретной информации и (или) в сопроводительной документации на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«должностные лица» - лица, утвержденные органами Содружества Независимых Государств по представлению Сторон в соответствии с закрепленными за каждой Стороной квотами на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«допуск к секретной информации» - право физического лица на доступ к секретной информации или право уполномоченного органа либо органа Содружества Независимых Государств на осуществление деятельности с использованием секретной информации, предоставленное в соответствии с законодательством государства - участника настоящего Соглашения и Правилами обращения с секретной информацией в органах Содружества Независимых Государств (далее - Правила), утверждаемыми Советом глав государств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«доступ к секретной информации» - санкционированное в установленном порядке ознакомление и (или) работа физического лица с секретной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«защита секретной информации» - правовые, административные, организационные, инженерно-технические и иные меры, принимаемые в целях недопущения несанкционированного распространения секретной информации и сохранности ее 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органы» - органы Сторон, ответственные за реализацию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«несанкционированное распространение секретной информации» - сообщение, передача, предоставление, пересылка, публикация или доведение секретной информации любыми другими способами до юридических и физических лиц, которым не предоставлено право ознакомления с ней, либо утрата или хищение ее 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«носители секретной информации» — материальные объекты, в том числе физические поля, в которых секретная информация находит свое отображение в виде символов, образов, сигналов, технических решений и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«органы Содружества Независимых Государств» — уставные и иные органы Содружества Независимых Государств, созданные в порядке, предусмотренном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>Содружества Независимых Государств от 22 января 1993 года (далее - Устав) и другими документами Содружества Независимых Государств, осуществляющие деятельность с использованием секретной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«рассекречивание секретной информации» - совокупность мероприятий по снятию ограничений на распространение секретной информации и доступ к ее носителям;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«секретная информация» - сведения, составляющие государственные секреты (государственную тайну) одного из государств - участников настоящего Соглашения, выраженные в любой форме, полученные, переданные и (или) образовавшиеся в процессе сотрудничества в рамках Содружества Независимых Государств, защищаемые государствами -  участниками настоящего Соглашения в соответствии с национальным законодательством, а в органах Содружества Независимых Государств - в соответствии с настоящим Соглашением и Правилами, несанкционированное распространение которых может нанести ущерб безопасности и интересам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«степень секретности» - критерий разграничения информации, устанавливаемый национальным законодательством государств - участников настоящего Соглашения, а в органах Содружества Независимых Государств - настоящим Соглашением 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- государственные органы и (или) организации государств - участников настоящего Соглашения, имеющие допуск к секретной информации, уполномоченные передавать, получать, хранить, защищать и использовать секретную информацию.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Предмет Соглашения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настоящего Соглашения является обеспечение защиты секретной информации при осуществлении сотрудничества в рамках Содружества Независимых Государств.</w:t>
      </w:r>
    </w:p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органы, уполномоченные органы и органы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Сотрудничество в области защиты секретной информации осуществляется через компетентные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каждой Стороной, и информация о них направляется депозитарию при сдаче на хранение уведомления о выполнении внутригосударственных процедур, необходимых для вступления настоящего Соглашения в силу. Сторона в течение месяца письменно уведомляет депозитарий об изменении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Компетентным органом Содружества Независимых Государств является Исполнительный комитет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Компетентные органы в пределах их полномочий взаимодействуют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органов Содружества Независимых Государств, осуществляющих деятельность с использованием секретной информации, формирует Исполнительный комитет Содружества Независимых Государств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не позднее 3 месяцев с даты подписания настоящего Соглашения направляет перечень в государства - участники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перечня Исполнительный комитет Содружества Независимых Государств в течение месяца письменно уведомляет государства - участники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взаимодействия уполномоченных органов с органами Содружества Независимых Государств осуществляется по согласованию с компетентными органами.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Защита секретной информации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 - участники настоящего Соглашения принимают все необходимые меры для обеспечения защиты секретной информации в соответствии с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Содружества Независимых Государств осуществляют защиту секретной информации в соответствии с настоящим Соглашением 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Государство - участник настоящего Соглашения предоставляет и оформляет должностным лицам, направляемым им в органы Содружества Независимых Государств, допуск к секретной информации на основании формируемого органом Содружества Независимых Государств перечня должностей, замещение которых предполагает доступ к секретной информации, и письменно информирует об этом соответствующий орган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работающим в качестве специалистов в органах Содружества Независимых Государств на основе заключенных с ними трудовых договоров и контрактов (кроме административно-технического персонала), допуск предоставляется и оформляется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Каждая из Сторон признает допуск к секретной информации, предоставленный и оформленный другой Стороной.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Соотнесение степеней секретности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органах Содружества Независимых Государств устанавливаются следующие степени секретности секретной информации и соответствующие им грифы секретности для ее носителей: «Особой важности», «Совершенно секретно» и «Секретно».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Степени секретности секретной информации, используемой в процессе сотрудничества в рамках Содружества Независимых Государств, и соответствующие этим степеням грифы секретности соотносятся следующим образом: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0"/>
      </w:tblGrid>
      <w:tr>
        <w:trPr>
          <w:trHeight w:val="30" w:hRule="atLeast"/>
        </w:trPr>
        <w:tc>
          <w:tcPr>
            <w:tcW w:w="1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72"/>
              <w:gridCol w:w="3185"/>
              <w:gridCol w:w="2890"/>
              <w:gridCol w:w="4053"/>
            </w:tblGrid>
            <w:tr>
              <w:trPr>
                <w:trHeight w:val="30" w:hRule="atLeast"/>
              </w:trPr>
              <w:tc>
                <w:tcPr>
                  <w:tcW w:w="387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Степени секретности и грифы секретности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70"/>
              <w:gridCol w:w="3185"/>
              <w:gridCol w:w="2892"/>
              <w:gridCol w:w="4053"/>
            </w:tblGrid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Республике Армения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Республике Беларусь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Республике Казахстан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Кыргызской Республике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Республике Молдова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«Конфиденциально»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«Ограниченного пользования»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Российской Федерации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Республике Таджикистан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Туркменистане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Республике Узбекистан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Украине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органах Содружества Независимых Государств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«Особой важности»</w:t>
                  </w:r>
                </w:p>
              </w:tc>
              <w:tc>
                <w:tcPr>
                  <w:tcW w:w="28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«Совершенно секретно»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«Секретно»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Меры защиты секретной информации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настоящим Соглашением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изменяют степень секретности полученной секретной информации и гриф секретности на ее носителях без письменного разрешения передавшей ее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используют секретную информацию, полученную от Стороны, исключительно в целях и на условиях, предусмотренных при ее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передают секретную информацию без предварительного письменного согласия передавшей ее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доступ к секретной информации в объеме, необходимом для выполнения должностных (функциональных) обязанностей, лицам, имеющим соответствующий допуск к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Степень секретности информации, образовавшейся в процессе сотрудничества, определяется или изменяется по взаимному согласованию уполномоченных или компетентных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Рассекречивание секретной информации, образовавшейся в процессе сотрудничества, осуществляется по согласованию уполномоченных или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Копирование или тиражирование в органах Содружества Независимых Государств полученной секретной информации осуществляется с согласия уполномоченного органа передавшей ее Стороны и оформляется документально.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копирования или тиражирования секретной информации на носителе секретной информации проставляется гриф секретности, соответствующий грифу секретности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количестве полученных в результате копирования, тиражирования носителей секретной информации направляется в уполномоченный орган Стороны, передавшей секретную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Уничтожение носителей секретной информации подтверждается документально, а сам процесс уничтожения должен обеспечивать невозможность ее воспроизведения и восстановления. Об уничтожении носителей секретной информации письменно уведомляется уполномоченный орган Стороны, ее передавшей.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Сторонами могут устанавливаться дополнительные меры защиты секретной информации.</w:t>
      </w:r>
    </w:p>
    <w:bookmarkEnd w:id="12"/>
    <w:bookmarkStart w:name="z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Передача секретной информации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секретной информации в органы Содружества Независимых Государств осуществляется в соответствии с национальным законодательством государствами - участниками настоящего Соглашения в каждом конкретном случае, исходя из собственных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органах Содружества Независимых Государств секретная информация передается представителям государств - участников настоящего Соглашения при органах Содружества Независимых Государств после подтверждения указанными лицами своих полномочий на доступ к секретной информации соответствующей степени секретности или направляется в уполномоченные или компетентные органы в объеме, определяемом передающей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секретной информации осуществляется по дипломатическим каналам, фельдъегерской службой или иным способом, согласованным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передачи носителей секретной информации значительного объема уполномоченный орган по согласованию с компетентным органом своей Стороны договаривается с органом Содружества Независимых Государств в каждом отдельном случае о способе транспортировки, маршруте и форме сопровождения.</w:t>
      </w:r>
    </w:p>
    <w:bookmarkEnd w:id="14"/>
    <w:bookmarkStart w:name="z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Посещение органов Содружества Независимых Государств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организации посещения органа Содружества Независимых Государств, в ходе которого планируется доступ к секретной информации, компетентные или уполномоченные органы заблаговременно направляют в соответствующий орган Содружества Независимых Государств письменное уведомление о командируемом лице, содержащее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отчество, дата и место рождения, гражданство, серия и номер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наименование компетентного или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допуска к секретной информации соответствующей степени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продолжительность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доступа командируемых лиц к работе с секретной информацией в органе Содружества Независимых Государств является указанное уведомление об этих лицах.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таких посещений командируемые лица знакомятся под роспись с Правилами, которые обязаны соблюдать.</w:t>
      </w:r>
    </w:p>
    <w:bookmarkEnd w:id="16"/>
    <w:bookmarkStart w:name="z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все расходы, возникающие в процессе реализации настоящего Соглашения, если ими не оговорено иное.</w:t>
      </w:r>
    </w:p>
    <w:bookmarkStart w:name="z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Нарушения требований к защите секретной информации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 установленном факте нарушений требований к защите секретной информации незамедлительно сообщается компетентному органу Стороны, передавшей секретную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факту несанкционированного распространения секретной информации проводится разбирательство, как правило, Стороной, в которой выявлен факт несанкционированного распространения. О результатах и принятых мерах уведомляется компетентный орган Стороны, передавшей секретную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или уполномоченные органы оказывают помощь при проведении разбирательства по факту несанкционированного распространения секретной информации, при необходимости направляя своих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и порядок возмещения ущерба, нанесенного несанкционированным распространением секретной информации, определяются в каждом конкретном случае по согласованию уполномоченных органов и органов Содружества Независимых Государств с привлечением в случае необходимости компетентных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Лицо, допустившее несанкционированное распространение секретной информации, несет ответственность в соответствии с национальным законодательством государства - участника настоящего Соглашения, гражданином которого оно является. </w:t>
      </w:r>
    </w:p>
    <w:bookmarkEnd w:id="19"/>
    <w:bookmarkStart w:name="z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Соотношение с другими международными договорами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ограничивает права Сторон заключать иные международные договоры по вопросам, являющимся предметом настоящего Соглашения и не противоречащим его целям. </w:t>
      </w:r>
    </w:p>
    <w:bookmarkEnd w:id="21"/>
    <w:bookmarkStart w:name="z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которые оформляются соответствующим протоколом.</w:t>
      </w:r>
    </w:p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Спорные вопросы, консультации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Спорные вопросы, возникающие при применении и толковании настоящего Соглашения, решаются путем консультаций и переговоров компетентных органов заинтересованных Сторон. Во время таких консультаций и переговоров продолжают применяться меры защиты секретной информации, предусмотренные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Соглашения компетентные органы проводят совместные консультации, обмениваются нормативными правовыми актами в области защиты секретной информации, а также осуществляют иное сотрудничество.</w:t>
      </w:r>
    </w:p>
    <w:bookmarkEnd w:id="24"/>
    <w:bookmarkStart w:name="z1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государствами - участниками Содружества Независимых Государств внутригосударственных процедур, необходимых для его вступления в силу. С этой же даты настоящее Соглашение вступает в силу для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 - участников Содружества Независимых Государств,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Присоединение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 - участника Содружества Независимых Государств путем передачи депозитарию документа о присоединении.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Start w:name="z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Срок действия, прекращение действия</w:t>
      </w:r>
    </w:p>
    <w:bookmarkEnd w:id="27"/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заключается на неопределенный срок. Каждое из государств - участников настоящего Соглашения вправе выйти из настоящего Соглашения, направив депозитарию письменное уведомление о таком намерении не позднее чем за 6 месяцев до выхода и урегулировав финансовые и иные обязательства, возникшие за время действия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прекращения действия настоящего Соглашения в отношении переданной или образовавшейся в процессе сотрудничества Сторон в рамках Содружества Независимых Государств секретной информации продолжают применяться меры ее защиты, предусмотренные настоящим Соглашением, пока информация не будет рассекречена передавшей ее Стороной. </w:t>
      </w:r>
    </w:p>
    <w:bookmarkEnd w:id="28"/>
    <w:bookmarkStart w:name="z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Язык Соглашения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сотрудничества в рамках настоящего Соглашения рабочим языком является русский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25 октября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Азербайджанскую Республику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Украину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Молдова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Содружество Независимых Государств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Соглашения о защите секретной информации в рамках Содружества Независимых Государств, принятого на заседании Совета глав государств Содружества Независимых Государств, которое состоялось 25 октября 2013 года в городе Минске. Подлинный экземпляр вышеупомянутого Соглашения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комитета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секретаря СНГ              В. 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