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4e7" w14:textId="643d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2015 года № 387-V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  №12,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19-I, 19-II, ст. 96; № 21, ст. 118, 122; № 23, ст. 143; № 24, ст. 145; 2015 г., № 8, ст. 42; № 11, ст. 57):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147. Функции уполномоченных органов, акимов городов районного значения, поселков, сел, сельских округов, осуществляющих государственный контроль за использованием и охраной земель»;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контроль за использованием и охраной земель осуществляют центральный уполномоченный орган, уполномоченные органы по контролю за использованием и охраной земель, иные уполномоченные органы, акимы городов районного значения, поселков, сел, сельских округов в пределах их компетенции.»;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«Выявленные нарушения земельного законодательства Республики Казахстан оформляются актом с приложением чертежа полевого обследования, которые подписываются специалистами, проводившими эти работы, и передаются уполномоченным органам, акимам городов районного значения, поселков, сел, сельских округов в рамках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и акимами городов районного значения, поселков, сел, сельских округов выявленные нарушения земельного законодательства Республики Казахстан рассматриваются в соответствии с их функциями в порядке, определенном законодательством Республики Казахстан об административных правонарушениях.»;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Решение государственных инспекторов по использованию и охране земель и акима города районного значения, поселка, села, сельского округа о наложении административного взыскания может быть обжаловано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инспекторы по использованию и охране земель и акимы городов районного значения, поселков, сел, сельских округов осуществляют контроль за фактическим устранением нарушений земельного законодательства Республики Казахстан, а также выполнением собственниками земельных участков и землепользователями указаний и предписаний должностных лиц, осуществляющих государственный контроль за использованием и охраной земель.»;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акимы городов районного значения, поселков, сел, сельских округов.»;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147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147. Функции уполномоченных органов, акимов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районного значения, поселков, сел,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округов, осуществляющих государственный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 использованием и охраной земель»;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Акимы городов районного значения, поселков, сел, сельских округов организуют и проводят государственный контроль в отношении физических лиц (за исключением субъектов частного предпринимательства) на территории населенного пункта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недопущением незаконного занятия или обмена государственных земельных участков либо совершения других сделок, в прямой или косвенной форме нарушающих право государственной собственности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недопущением использования земель не по целевому назначению.».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3) и 4) 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земельный налог на земли населенных пунктов с физических и юридических лиц, земельный участок которых находится в городе районного значения, поселке,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 с физических и юридических лиц, зарегистрированных в городе районного значения, поселке, селе.»;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Акимат области, города республиканского значения, столицы проводит обсуждение проекта областного бюджета, бюджета города республиканского значения, столицы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Акимат района (города областного значения) проводит обсуждение проекта бюджета района (города областного значения)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Акимат области, города республиканского значения, столицы проводит обсуждение годового отчета об исполнении областного бюджета, бюджета города республиканского значения, столицы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Акимат района (города областного значения) проводит обсуждение годового отчета об исполнении бюджета района (города областного значения)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Акимы городов районного значения, поселков, сел, сельских округов (далее – акимы) организуют сбор налогов на имущество, транспортные средства, земельного налога, уплачиваемых налогоплательщиком – физическим лицом.».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 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72;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729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Акимы городов районного значения, поселков, сел,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 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(в части теплоиспользующих установок потребителей) и второй), 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третьей и четвертой) (в части эксплуатации тепломеханического оборудования котельных всех мощностей и тепловых сетей (магистральных, внутриквартальных), 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котельных всех мощностей и тепловых сетей (магистральных, внутриквартальных), 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котельных всех мощностей), 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тепловых сетей (магистральных, внутриквартальных), 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пятой, шестой и седьмой), 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восьмой, девятой, десятой и одиннадцатой), 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совершенные на территории городов районного значения, поселков, сел, сельских округов.».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 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9-1) и 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уполномоченный орган по вопросам развития местного самоуправления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9-2) территориальный совет местного самоуправления – консультативно-совещательный орган при акимате города республиканского значения, столицы, города областного значения по вопросам взаимодействия акима города с населением, образуемый в границах одного или нескольких избирательных округов по выборам депутатов городского маслихата;»;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штрафы, взимаемые акимами города районного значения, поселка, села, сельского округа за административные правонарушения,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 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(в части теплоиспользующих установок потребителей) и второй), 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третьей и четвертой) (в части эксплуатации тепломеханического оборудования котельных всех мощностей и тепловых сетей (магистральных, внутриквартальных), 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котельных всех мощностей и тепловых сетей (магистральных, внутриквартальных), 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котельных всех мощностей), 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тепловых сетей (магистральных, внутриквартальных), 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пятой, шестой и седьмой), 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восьмой, девятой, десятой и одиннадцатой), 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«2-5. К компетенции маслихатов городов республиканского значения, столицы, городов областного значения относятся принятие решения о создании территориальных советов местного самоуправления, утверждение их состава и положений о территориальных советах местного самоуправления.»;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«21-5)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«1-4. Акимат области, города республиканского значения, столицы проводит обсуждение проекта областного бюджета, бюджета города республиканского значения, столицы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области, города республиканского значения, столицы проводит обсуждение годового отчета об исполнении областного бюджета, бюджета города республиканского значения, столицы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«17-2)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Акимат района (города областного значения) проводит обсуждение проекта бюджета района (города областного значения)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проводит обсуждение годового отчета об исполнении бюджета района (города областного значения) на заседании общественного совета, создаваемого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общественных советах».»;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«12-9) содействует выделению жилья матерям, награжденным подвеской «Алтын алқа»;»;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 13), 14) и 15) следующего 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проводят инвентаризацию жилищного фонда города районного значения,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оказывают содействие микрокредитованию сельского населения в рамках программных документов системы государственного планирования.»;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Имущество, приобретенное за счет средств местного самоуправления, закрепляется на балансе аппарата акима города районного значения, поселка, села, сельского округа.»;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обсуждение бюджетных программ и рассмотрение проектов программных документов, программ развития местного сообщества;»;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 4-1), 4-2), 4-3), 4-4) и 4-5)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согласование отчуждения имущества, приобретенного за счет средств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обсуждение актуальных вопросов местного сообщества, проектов нормативных правовых актов, затрагивающих права и свободы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согласование представленных акимом района (города областного значения) кандидатур на должность акима города районного значения, поселка, села, сельского округа для дальнейшего внесения в маслихат района (города областного значения) для проведения выборов акима города районного значения,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инициирование вопроса об освобождении от должности акима города районного значения,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4-5)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главу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39-7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39-7. Территориальные советы местного 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Территориальные советы местного самоуправления создаются на основании решения маслихата города республиканского значения, столицы, города областного значения соответствующим акиматом в границах одного или нескольких избирательных округов по выборам депутатов городского маслихата в составе, предложенном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деятельности, основные задачи, полномочия  территориального совета местного самоуправления, его руководителя, порядок его избрания, статус принимаемых решений и другие организационные вопросы деятельности территориального совета местного самоуправления определяются положением, разработанным акиматом города республиканского значения, столицы, города областного значения и утвержденным маслихатом города республиканского значения, столицы, города областного значения на основе типового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территориальных советах местного самоуправления утверждается уполномоченным органом по вопросам развития местного самоуправления.».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«24-1) по согласованию с собранием местного сообщества принимают решение об отчуждении имущества, приобретенного за счет средств местного самоуправления;»;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«Имущество, закрепленное за государственным учреждением и приобретенное за счет средств местного самоуправления, не подлежит перераспределению между другими государственными юридическими лицами.».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