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0eff" w14:textId="9280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Письма-соглашения между Республикой Казахстан и Международным Банком Реконструкции и Развития относительно поправок № 2 к Соглашению о займе № 7681-KZ (Проект развития автомобильных дорог Юг-Запад: Международный транзитный коридор Западная Европа – Западный Китай (ЦАРЭС 1b и 6b)) между Республикой Казахстан и Международным Банком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декабря 2017 года № 116-VI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Письмо-соглашение между Республикой Казахстан и Международным Банком Реконструкции и Развития относительно поправок № 2 к Соглашению о займе № 7681-KZ (Проект развития автомобильных дорог Юг-Запад: Международный транзитный коридор Западная Европа – Западный Китай (ЦАРЭС 1b и 6b)) между Республикой Казахстан и Международным Банком Реконструкции и Развития, совершенное в Астане 26 сентября 2017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Письмо-соглашение между Республикой Казахстан и Международным Банком Реконструкции и Развития относительно поправок № 2 к Соглашению о Займе № 7681-KZ (Проект развития автомобильных дорог Юг-Запад: Международный транзитный коридор Западная Европа – Западный Китай (ЦАРЭС 1b и 6b)) между Республикой Казахстан и Международным Банком Реконструкции и Развития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г-ну Бахыту Султанову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Министру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Кас: 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развития автомобильных дорог "Юг – Запад":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транзитный коридор "Западная Европа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Западный Китай" (ЦАРЭС 1b и 6b)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Займ № 7681-KZ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Поправка № 2 к Соглашению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 займе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г-н Султанов: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Мы ссылаемся на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займе между Республикой Казахстан (далее - Заемщик) и Международным Банком Реконструкции и Развития (далее - Банк) от 13 июня 2009 года с внесенными поправками (далее – Соглашение о займе). Мы ссылаемся также на письмо Министерства финансов Заемщика от 10 февраля 2017 года о запросе реструктуризации Проекта и внесении определенных поправок в Соглашение о займе в связи с предлагаемой реструктуризацией.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Мы рады сообщить Вам, что после должного рассмотрения Банк предлагает внести следующие поправки в Соглашение о займе: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</w:t>
      </w:r>
      <w:r>
        <w:rPr>
          <w:rFonts w:ascii="Times New Roman"/>
          <w:b w:val="false"/>
          <w:i w:val="false"/>
          <w:color w:val="000000"/>
          <w:sz w:val="28"/>
        </w:rPr>
        <w:t>Часть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Соглашения о займе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Часть 5: Надзор за строительными работами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Предоставление консультационных услуг по надзору строительных работ по </w:t>
      </w:r>
      <w:r>
        <w:rPr>
          <w:rFonts w:ascii="Times New Roman"/>
          <w:b w:val="false"/>
          <w:i w:val="false"/>
          <w:color w:val="000000"/>
          <w:sz w:val="28"/>
        </w:rPr>
        <w:t>Части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Части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Части 6 Проекта."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В Приложение 1 Соглашения о займе добавлена новая Часть 6: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"Часть 6: Модернизация и реконструкция участков дороги в пределах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Алматинской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Оказание работ для поддержки: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(i) модернизации и реконструкции участков дорог в пределах Алматинской области, в том числе: (а) участок Курты – Тогыз; (b) участок Узынагаш – Отар;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(ii) Улучшение (а) дорожной безопасности; (b) придорожного сервиса; и (с) содержания дорог и эксплуатации."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</w:t>
      </w:r>
      <w:r>
        <w:rPr>
          <w:rFonts w:ascii="Times New Roman"/>
          <w:b w:val="false"/>
          <w:i w:val="false"/>
          <w:color w:val="000000"/>
          <w:sz w:val="28"/>
        </w:rPr>
        <w:t>Параграф I.A.1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Соглашения о займе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Заемщик, через МИР, с помощью КУП, реализует Проект в соответствии с требованиями, критериями, организационными механизмами и операционными процедурами, изложенными в Руководстве по реализации Проекта, Плане мероприятий по РППК, Основе политики переселения, ОВОС и ОВОСС, а также не будет поручать выполнение функций, вносить изменения, аннулировать или отказываться от требования реализации Руководства по реализации Проекта, Плана мероприятий по РППК, Основы политики переселения, ОВОС и ОВОСС без предварительного одобрения Банка."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</w:t>
      </w:r>
      <w:r>
        <w:rPr>
          <w:rFonts w:ascii="Times New Roman"/>
          <w:b w:val="false"/>
          <w:i w:val="false"/>
          <w:color w:val="000000"/>
          <w:sz w:val="28"/>
        </w:rPr>
        <w:t>Параграф I.A.3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Соглашения о займе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Заемщик через МИР: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(a) подготовит Планы управления окружающей средой, удовлетворительные для Банка в соответствии с ОВОС и ОВОСС до начала любых работ по Проекту;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(b) реализует Проект в соответствии с соответствующими Планами управления окружающей средой;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(c) обеспечит, что Процедуры случайной находки соблюдаются в случаях, когда материальные культурные ресурсы будут найдены в ходе реализации Проекта. Заемщик также обеспечит, чтобы положения Процедур случайной находки были включены в контракты на строительные работы и что такие положения применяются в ходе реализации проекта;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(d) не будет вносить поправки, приостанавливать или аннулировать какие-либо положения соответствующих Планов управления окружающей средой без предварительного одобрения Банка."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Таблицу </w:t>
      </w:r>
      <w:r>
        <w:rPr>
          <w:rFonts w:ascii="Times New Roman"/>
          <w:b w:val="false"/>
          <w:i w:val="false"/>
          <w:color w:val="000000"/>
          <w:sz w:val="28"/>
        </w:rPr>
        <w:t>параграфа IV.A.2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Соглашения о займе изложить в следующей редакции: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9"/>
        <w:gridCol w:w="6430"/>
        <w:gridCol w:w="2301"/>
      </w:tblGrid>
      <w:tr>
        <w:trPr>
          <w:trHeight w:val="30" w:hRule="atLeast"/>
        </w:trPr>
        <w:tc>
          <w:tcPr>
            <w:tcW w:w="3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 средств займа (в долл. США)</w:t>
            </w:r>
          </w:p>
        </w:tc>
        <w:tc>
          <w:tcPr>
            <w:tcW w:w="2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финансируемых расходов, (включая налоги)</w:t>
            </w:r>
          </w:p>
        </w:tc>
      </w:tr>
      <w:tr>
        <w:trPr>
          <w:trHeight w:val="30" w:hRule="atLeast"/>
        </w:trPr>
        <w:tc>
          <w:tcPr>
            <w:tcW w:w="3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 Работы по Части 1 Проекта</w:t>
            </w:r>
          </w:p>
        </w:tc>
        <w:tc>
          <w:tcPr>
            <w:tcW w:w="6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1,085,300,000</w:t>
            </w:r>
          </w:p>
        </w:tc>
        <w:tc>
          <w:tcPr>
            <w:tcW w:w="2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3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 Работы по Части 2 Проекта</w:t>
            </w:r>
          </w:p>
        </w:tc>
        <w:tc>
          <w:tcPr>
            <w:tcW w:w="6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700,000,000</w:t>
            </w:r>
          </w:p>
        </w:tc>
        <w:tc>
          <w:tcPr>
            <w:tcW w:w="2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3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 Услуги консультантов по Части 3 Проекта</w:t>
            </w:r>
          </w:p>
        </w:tc>
        <w:tc>
          <w:tcPr>
            <w:tcW w:w="6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8,200,000</w:t>
            </w:r>
          </w:p>
        </w:tc>
        <w:tc>
          <w:tcPr>
            <w:tcW w:w="2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3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 Услуги консультантов по Части 4 Проекта</w:t>
            </w:r>
          </w:p>
        </w:tc>
        <w:tc>
          <w:tcPr>
            <w:tcW w:w="6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3,000,000</w:t>
            </w:r>
          </w:p>
        </w:tc>
        <w:tc>
          <w:tcPr>
            <w:tcW w:w="2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3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 Услуги консультантов по Части 5 Проекта</w:t>
            </w:r>
          </w:p>
        </w:tc>
        <w:tc>
          <w:tcPr>
            <w:tcW w:w="6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55,500,000</w:t>
            </w:r>
          </w:p>
        </w:tc>
        <w:tc>
          <w:tcPr>
            <w:tcW w:w="2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3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(6) Товары по Части 4 Проекта</w:t>
            </w:r>
          </w:p>
        </w:tc>
        <w:tc>
          <w:tcPr>
            <w:tcW w:w="6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1,000,000</w:t>
            </w:r>
          </w:p>
        </w:tc>
        <w:tc>
          <w:tcPr>
            <w:tcW w:w="2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3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(7) Нераспределенные расходы</w:t>
            </w:r>
          </w:p>
        </w:tc>
        <w:tc>
          <w:tcPr>
            <w:tcW w:w="6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(8) Работы по Части 6 Проекта</w:t>
            </w:r>
          </w:p>
        </w:tc>
        <w:tc>
          <w:tcPr>
            <w:tcW w:w="6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272,000,000</w:t>
            </w:r>
          </w:p>
        </w:tc>
        <w:tc>
          <w:tcPr>
            <w:tcW w:w="2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  <w:tr>
        <w:trPr>
          <w:trHeight w:val="30" w:hRule="atLeast"/>
        </w:trPr>
        <w:tc>
          <w:tcPr>
            <w:tcW w:w="3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6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2 ,125,000,000</w:t>
            </w:r>
          </w:p>
        </w:tc>
        <w:tc>
          <w:tcPr>
            <w:tcW w:w="23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</w:t>
      </w:r>
      <w:r>
        <w:rPr>
          <w:rFonts w:ascii="Times New Roman"/>
          <w:b w:val="false"/>
          <w:i w:val="false"/>
          <w:color w:val="000000"/>
          <w:sz w:val="28"/>
        </w:rPr>
        <w:t>Параграф IV.B.2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Соглашения о займе изложить в следующей редакции (изменения выделены </w:t>
      </w:r>
      <w:r>
        <w:rPr>
          <w:rFonts w:ascii="Times New Roman"/>
          <w:b w:val="false"/>
          <w:i/>
          <w:color w:val="000000"/>
          <w:sz w:val="28"/>
        </w:rPr>
        <w:t>курсивом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Дата закрытия проекта – 31 декабря 2021 года."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Добавлены два новых параграфа I.3 и I.6 в Дополнение Соглашения о займе и, соответственно, перенумерованы последующие пункты: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"Процедуры случайной находки" означает процедуры, которые должны соблюдаться в случаях, когда в ходе реализации проекта обнаруживаются материальные культурные ресурсы, которые требуют, чтобы Заемщик принимал соответствующие меры по обеспечению безопасности, включая временное приостановление деятельности на участке и представление отчетности государственному органу, ответственному за культурные ценности."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"Оценка воздействия на окружающую среду и социальную сферу" или "ОВОСС" означает заключительные отчеты об оценке воздействия на окружающую среду и социальную сферу, подготовленные и раскрытые Заемщиком 31 марта 2017 года, и удовлетворительные для Банка, содержащие, помимо прочего: (i) подробное описание объектов, на которых будут проведены мероприятия по Части 6 Проекта; (ii) потенциальные и фактические неблагоприятные экологические последствия мероприятий, указанных в пункте выше (i); и (iii) определения мер ПСЭУ по конкретным объектам, которые будут приняты в ходе реализации и эксплуатации Проекта в целях смягчения, устранения или иным образом компенсации неблагоприятных экологических последствий Проекта."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</w:t>
      </w:r>
      <w:r>
        <w:rPr>
          <w:rFonts w:ascii="Times New Roman"/>
          <w:b w:val="false"/>
          <w:i w:val="false"/>
          <w:color w:val="000000"/>
          <w:sz w:val="28"/>
        </w:rPr>
        <w:t>Параграф I.8</w:t>
      </w:r>
      <w:r>
        <w:rPr>
          <w:rFonts w:ascii="Times New Roman"/>
          <w:b w:val="false"/>
          <w:i w:val="false"/>
          <w:color w:val="000000"/>
          <w:sz w:val="28"/>
        </w:rPr>
        <w:t xml:space="preserve"> (ранее параграф I.6) Дополнения Соглашения о займе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"Планы социально-экологического управления" или "ПСЭУ" означает документы по конкретным объектам, принятые Заемщиком и удовлетворительные для Банка согласно ОВОСС и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I.А Приложения 2 настоящего Соглашения в отношении работ, выполняемых Заемщиком по Проекту, в которых определены, в частности: (i) детальные меры по управлению потенциальными экологическими рисками и меры по смягчению, сокращению и/или компенсации отрицательного воздействия на окружающую среду, оказанного в связи с реализацией мероприятий Проекта, наряду с адекватными институциональными механизмами, механизмами мониторинга и отчетности, способными обеспечить надлежащее выполнение и поступления регулярной информации по их соблюдению; (ii) потенциальные воздействия на природные среды обитания и соответствующие меры по смягчению последствий для подрядчиков во время работ по Проекту; (iii) материальные культурные ресурсы и планы управления, подготовленные в соответствии с законодательством Заемщика, которые могут периодически корректироваться и дополняться с предварительного письменного согласия Банка; и понятие "ПСЭУ" относится к одному подобному документу."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Определения "Планы управления окружающей средой" и "ПУОС" должны быть заменены на "Планы социально-экологического управления" и "ПСЭУ" и все ссылки на "Планы управления окружающей средой" "ПУОС" считаются ссылками на "Планы социально-экологического управления" и "ПСЭУ".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Параграф I.11 (ранее параграф I.9) Дополнения Соглашения о займе изложить в следующей редакции, и все ссылки на МТК или Министерство транспорта и коммуникаций в Соглашении считаются ссылками на МИР: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"МИР" означает Министерство по инвестициям и развитию Заемщика или его правопреемник."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Параграф I.17 (ранее параграф I.15) Дополнения Соглашения о займе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"Основа политики переселения" означает документ, подготовленный, утвержденный и опубликованный Заемщиком 1 мая 2008 года, обновленный и опубликованный Заемщиком (i) 18 марта 2009 года и посредством Infoshop Банка 25 марта 2009 года, и (іі) 25 июня 2015 года и 17 ноября 2015 года, соответственно, устанавливающий порядок переселения, институциональные механизмы, квалификационные критерии, права и компенсацию, включая порядок проведения оценки стоимости, общественные консультации и участие населения, мониторинг и оценку, критерии раскрытия информации, применяемые при подготовке Плана действий по переселению (ПДП) по конкретным объектам и все необходимые задачи для смягчения негативного социального воздействия Проекта."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Все другие положения Соглашения о Займе, в отношении которых здесь не предусмотрены поправки, остаются без изменений и имеют полную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Пожалуйста, подтвердите Ваше согласие с вышеуказанными изменениями от имени Заемщика путем подписания, датирования и возврата нам прилагаемой копии настоящего письма. Поправка вступит в силу после получения Банком уведомления, указывающего, что исполнение и передача настоящей поправки от имени Заемщика были должным образом разрешены или ратифицированы всеми необходимыми государственными процедурами.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Искренно ваш,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БАНК РЕКОНСТРУКЦИИ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Лилия Бурунчук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Азии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Бахыт Султанов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Должность: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Дата: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сентября 2017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Сопроводительный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перевод соответствует тексту Письма-соглашения между Республикой Казахстан и Международным Банком Реконструкции и Развития относительно поправок № 2 к Соглашению о займе № 7681-KZ (Проект развития автомобильных дорог Юг - Запад: Международный транзитный коридор "Западная Европа – Западный Китай" (ЦАРЭС 1b и 6b)) между Республикой Казахстан и Международным Банком Реконструкции и Развития на английском языке, совершенного 26 сентября 2017 года в Астане.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редактирования и лингвистической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экспертизы документов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документооборота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 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