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4000" w14:textId="dd94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ноября 2021 года № 74-VII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года, совершенный в Москве 31 октября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 (далее - Соглашение),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исключить.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4-2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4-2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Совместного предприятия по бюджетному кредиту конвертируются в уставный капитал Совместного предприятия путем дополнительного размещения простых акций и передачи их Казахстанской Стороне, выдавшей бюджетный кредит.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 космической деятельности "Роскосмос" и (или) ее организации могут передать Казахстанской Стороне необходимое для создания космического ракетного комплекса "Байтерек" имущество, находящееся в их собственности и расположенное на объектах комплекса "Байконур".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передаваемого имущества и порядок его передачи утверждаются Казахстанско-Российской межправительственной комиссией по комплексу "Байконур".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имущества осуществляются совместной комиссией, созданной компетентными органами Сторон.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имущества осуществляются в соответствии с законодательством каждого из государств Сторон в области экспортного контроля.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имеет право довести свою долю в Совместном предприятии до паритета с Казахстанской Стороной.".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начало летных испытаний космического ракетного комплекса "Байтерек" с ракетой-носителем среднего класса в 2023 году.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обеспечивают выполнение с космического ракетного комплекса "Байтерек" коммерческих заказов по выведению космических аппаратов на орбиты ракетой-носителем "Союз-5" и ее возможными модификациями, в количестве не менее двух пусков в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 менее трех испытательных пусков ракеты-носителя "Союз-5" с космического ракетного комплекса "Байтерек" до 2025 года;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модификациями, в количестве не менее двух пусков в год в период с 2025 по 2036 годы.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 в период с 2025 по 2036 годы в рамках реализации государственных проектов Республики Казахстан.".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31 октября 2020 года в двух экземплярах, каждый на казахском и русском языках, причем оба текста имеют одинаковую силу. В случае расхождения между текстами настоящего Протокола, Стороны обращаются к тексту на русском языке.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