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b7e1" w14:textId="9fbb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Марракешское соглашение об учреждении Всемирной торговой организации (Соглашение по рыболовным субсидиям)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июня 2024 года № 92-VIII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Марракешское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Всемирной торговой организации (Соглашение по рыболовным субсидиям), совершенный в Женеве 17 июня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Неофициальный перевод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МАРРАКЕШСКОЕ СОГЛАШЕНИЕ </w:t>
      </w:r>
      <w:r>
        <w:br/>
      </w:r>
      <w:r>
        <w:rPr>
          <w:rFonts w:ascii="Times New Roman"/>
          <w:b/>
          <w:i w:val="false"/>
          <w:color w:val="000000"/>
        </w:rPr>
        <w:t>ОБ УЧРЕЖДЕНИИ ВСЕМИРНОЙ ТОРГОВОЙ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СОГЛАШЕНИЕ ПО РЫБОЛОВНЫМ СУБСИДИЯМ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Всемирной торговой организации,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решение Министерской конференции в документе WT/MIN(22) /33 - WT/L/1144, принятое в соответствии с пунктом 1 статьи X Марракешского Соглашения об учреждении Всемирной торговой организации ("Соглашение ВТО");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договорились о нижеследующем: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вступления настоящего Протокола в силу в соответствии с пунктом 4 в Приложение 1А к Соглашению ВТО вносятся изменения посредством включения Соглашения по рыболовным субсидиям,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и его расположения после Соглашения по субсидиям и компенсационным мерам.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Никакие оговорки не могут быть сделаны в отношении любого из положений настоящего Протокола.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открыт для принятия членами.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Протокол вступает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X Соглашения ВТО.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Депозитарием настоящего Протокола является Генеральный директор Всемирной торговой организации, который оперативно предоставляет каждому члену заверенную копию настоящего Протокола и уведомление о каждом его принятии в соответствии с пунктом 3.</w:t>
      </w:r>
    </w:p>
    <w:bookmarkEnd w:id="11"/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Для целей подсчета количества документов о принятии в соответствии со статьей Х:3 Соглашения ВТО документ о принятии в отношении самого Европейского союза и в отношении его государств - членов считается документом о принятии числом членов, равным количеству государств - членов Европейского союза, являющихся членами ВТО.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Протокол подлежит регистрации в соответствии с положениями статьи 102 Устава Организации Объединенных Наций.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Женеве 17 июня 2022 г. в одном экземпляре на английском, французском и испанском языках, все тексты имеют одинаковую силу.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Неофициальный перевод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16"/>
    <w:bookmarkStart w:name="z10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СОГЛАШЕНИЕ ПО РЫБОЛОВНЫМ СУБСИДИЯМ  СТАТЬЯ 1: СФЕРА ПРИМЕНЕНИЯ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к субсидиям в значении статьи 1.1 Соглашения по субсидиям и компенсационным мерам (Соглашение по СКМ), которые являются специфическими в понимании статьи 2 упомянутого Соглашения, в отношении морского рыбного промысла и связанной с промыслом деятельности, осуществляемой в море.</w:t>
      </w:r>
      <w:r>
        <w:rPr>
          <w:rFonts w:ascii="Times New Roman"/>
          <w:b w:val="false"/>
          <w:i w:val="false"/>
          <w:color w:val="000000"/>
          <w:vertAlign w:val="superscript"/>
        </w:rPr>
        <w:t>2,3,4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2: ОПРЕДЕЛЕНИЯ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"рыба" означает все виды живых морских ресурсов независимо от того, переработаны они или нет;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"промысел" означает поиск, привлечение, обнаружение, вылов, изъятие или добычу рыбы или любую деятельность, которая согласно разумным ожиданиям может привести к привлечению, обнаружению, вылову, изъятию или добыче рыбы;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"связанная с промыслом деятельность" означает любое действие в поддержку или для подготовки к промыслу, включая выгрузку, упаковку, переработку, перегрузку или транспортировку рыбы, которая не была ранее выгружена в порту, а также обеспечение персоналом, топливом, орудиями лова и прочим снабжением в море;</w:t>
      </w:r>
    </w:p>
    <w:bookmarkEnd w:id="22"/>
    <w:p>
      <w:pPr>
        <w:spacing w:after="0"/>
        <w:ind w:left="0"/>
        <w:jc w:val="both"/>
      </w:pPr>
      <w:bookmarkStart w:name="z27" w:id="23"/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Для большей ясности аквакультура и промысел во внутренних водоемах исключены из сферы применения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большей ясности межгосударственные платежи в рамках соглашений о доступе к рыбным ресурсам не рассматриваются как субсидии в рамках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большей ясности для целей настоящего Соглашения субсидия относится к члену, предоставляющему ее, независимо от флага или регистрации любого вовлеченного судна или национальной принадлежности получателя субсидии.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"судно" означает любое судно любого типа или плавучее средство, используемое, оборудованное для использования или предназначенное для использования на промысле или связанной с промыслом деятельности;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"оператор" означает владелец судна или любое лицо, которое отвечает за судно, направляет или контролирует его.</w:t>
      </w:r>
    </w:p>
    <w:bookmarkEnd w:id="25"/>
    <w:bookmarkStart w:name="z10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3: СУБСИДИИ, СПОСОБСТВУЮЩИЕ НЕЗАКОННОМУ, НЕСООБЩАЕМОМУ И НЕРЕГУЛИРУЕМОМУ ПРОМЫСЛУ</w:t>
      </w:r>
      <w:r>
        <w:rPr>
          <w:rFonts w:ascii="Times New Roman"/>
          <w:b/>
          <w:i w:val="false"/>
          <w:color w:val="000000"/>
          <w:vertAlign w:val="superscript"/>
        </w:rPr>
        <w:t>5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Ни один член не предоставляет и не сохраняет какую-либо субсидию судну или оператору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занятому незаконным, несообщаемым и нерегулируемым (ННН) промыслом или связанной с промыслом деятельностью в поддержку ННН промысла.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Для целей </w:t>
      </w:r>
      <w:r>
        <w:rPr>
          <w:rFonts w:ascii="Times New Roman"/>
          <w:b w:val="false"/>
          <w:i w:val="false"/>
          <w:color w:val="000000"/>
          <w:sz w:val="28"/>
        </w:rPr>
        <w:t>статьи 3.1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судно или оператор считается занятым ННН промыслом, если положительное решение об этом вынесено любым из следующих</w:t>
      </w:r>
      <w:r>
        <w:rPr>
          <w:rFonts w:ascii="Times New Roman"/>
          <w:b w:val="false"/>
          <w:i w:val="false"/>
          <w:color w:val="000000"/>
          <w:vertAlign w:val="superscript"/>
        </w:rPr>
        <w:t>7,8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прибрежным членом в отношении деятельности в районах, находящихся под его юрисдикцией; или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членом - государством флага в отношении судов, осуществляющих деятельность под его флагом; или</w:t>
      </w:r>
    </w:p>
    <w:bookmarkEnd w:id="30"/>
    <w:p>
      <w:pPr>
        <w:spacing w:after="0"/>
        <w:ind w:left="0"/>
        <w:jc w:val="both"/>
      </w:pPr>
      <w:bookmarkStart w:name="z34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"Незаконный, несообщаемый и нерегулируемый (ННН) промысел" относится к видам деятельности, изложенным в пункте 3 Международного плана действий по предотвращению, сдерживанию и ликвидации незаконного, несообщаемого и нерегулируемого промысла, принятого Продовольственной и сельскохозяйственной организацией Объединенных Наций (ФАО) в 2001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термин "оператор" означает оператора в понимании </w:t>
      </w:r>
      <w:r>
        <w:rPr>
          <w:rFonts w:ascii="Times New Roman"/>
          <w:b w:val="false"/>
          <w:i w:val="false"/>
          <w:color w:val="000000"/>
          <w:sz w:val="28"/>
        </w:rPr>
        <w:t>статьи 2(e)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момент осуществления правонарушения в виде ННН промысла. Для большей ясности запрет на предоставление или сохранение субсидий операторам, занятым ННН промыслом, распространяется на субсидии, предоставляемые на промысел и связанную с промыслом деятельность, осуществляемую в море.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Ничто в данной статье не должно истолковываться как обязательство членов инициировать расследования или выносить решения в отношении ННН промысла.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Ничто в настоящей статье не должно истолковываться как влияющее на компетенцию включенных в перечень субъектов в рамках соответствующих международных инструментов или предоставляющее новые права включенным в перечень субъектам при вынесении решения об ННН промысле.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(с) соответствующей региональной организацией или договоренностью по регулированию рыболовства (РФМО/А) согласно правилам и процедурам РФМО/А и соответствующему международному праву, в том числе путем предоставления своевременного уведомления и соответствующей информации, для тех районов и для тех видов, которые находятся в ее компетенции.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(а) Положительное решение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окончательное решение члена и/или окончательное включение в список РФМО/А, означающее, что судно или оператор были заняты ННН промыслом.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Для целей </w:t>
      </w:r>
      <w:r>
        <w:rPr>
          <w:rFonts w:ascii="Times New Roman"/>
          <w:b w:val="false"/>
          <w:i w:val="false"/>
          <w:color w:val="000000"/>
          <w:sz w:val="28"/>
        </w:rPr>
        <w:t>статьи 3.2 (а)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3.1</w:t>
      </w:r>
      <w:r>
        <w:rPr>
          <w:rFonts w:ascii="Times New Roman"/>
          <w:b w:val="false"/>
          <w:i w:val="false"/>
          <w:color w:val="000000"/>
          <w:sz w:val="28"/>
        </w:rPr>
        <w:t>, применяется, если решение прибрежного члена основано на соответствующей фактической информации и если прибрежный член предоставил члену - государству флага и субсидирующему члену, если он известен, следующее: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своевременное уведомление по соответствующим каналам о том, что судно или оператор были временно задержаны в ожидании дальнейшего расследования на предмет участия в ННН промысле, или о том, что прибрежный член инициировал расследование об осуществлении ННН промысла, включая ссылку на любую соответствующую фактическую информацию, применимые законы, правила, административные процедуры или другие соответствующие меры;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возможность обмениваться соответствующей информацией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вынесения решения с тем, чтобы такая информация учитывалась при окончательном решении. Прибрежный член может указать способ и период времени, в течение которого такой обмен информацией должен быть осуществлен; 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уведомление об окончательном решении и любых применяемых наказаниях, в том числе, если это возможно, их продолжительности.</w:t>
      </w:r>
    </w:p>
    <w:bookmarkEnd w:id="37"/>
    <w:p>
      <w:pPr>
        <w:spacing w:after="0"/>
        <w:ind w:left="0"/>
        <w:jc w:val="both"/>
      </w:pPr>
      <w:bookmarkStart w:name="z41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Ничто в данной статье не должно истолковываться как задерживающее или влияющее на обоснованность и исполнимость решения об ННН промысле.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Например, это может включать в себя возможность для диалога или письменного обмена информацией по запросу члена - государства флага или субсидирующего члена.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Прибрежный член уведомляет о положительном решении Комитет,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статье 9.1</w:t>
      </w:r>
      <w:r>
        <w:rPr>
          <w:rFonts w:ascii="Times New Roman"/>
          <w:b w:val="false"/>
          <w:i w:val="false"/>
          <w:color w:val="000000"/>
          <w:sz w:val="28"/>
        </w:rPr>
        <w:t xml:space="preserve"> (именуемый в настоящем Соглашении как "Комитет").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 Субсидирующий член принимает во внимание характер, тяжесть и частоту ННН промысла, совершаемого судном или оператором, при установлении срока действия применения запрета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3.1</w:t>
      </w:r>
      <w:r>
        <w:rPr>
          <w:rFonts w:ascii="Times New Roman"/>
          <w:b w:val="false"/>
          <w:i w:val="false"/>
          <w:color w:val="000000"/>
          <w:sz w:val="28"/>
        </w:rPr>
        <w:t>. Запрет в рамках статьи 3.1 применяется до тех пор, пока остается в силе наказание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являющееся результатом инициирующего запрет решения, или пока судно или оператор включено в список РФМО/А - в зависимости от того, что дольше.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 Субсидирующий член уведомляет Комитет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8.3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мерах, принятых согласно статье 3.1.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Если член - государство порта уведомляет субсидирующего члена о том, что у него есть явные основания полагать, что находящееся в одном из его портов судно занималось ННН промыслом, субсидирующий член учитывает должным образом полученную информацию и предпринимает такие действия в отношении своих субсидий, которые он сочтет необходимыми.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 Каждый член имеет законы, правила и/или административные процедуры для обеспечения того, чтобы субсидии, указанные в статье 3.1, включая субсидии, существующие на момент вступления в силу настоящего Соглашения, не предоставлялись и не сохранялись.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3.8 В течение 2 лет с даты вступления в силу настоящего Соглашения субсидии, предоставляемые или сохраняемые развивающимися странами - членами, включая наименее развитые страны - члены (НРС), до и в пределах исключительной экономической зоны (ИЭЗ), освобождаются от действий, основанных на </w:t>
      </w:r>
      <w:r>
        <w:rPr>
          <w:rFonts w:ascii="Times New Roman"/>
          <w:b w:val="false"/>
          <w:i w:val="false"/>
          <w:color w:val="000000"/>
          <w:sz w:val="28"/>
        </w:rPr>
        <w:t>статьях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4"/>
    <w:bookmarkStart w:name="z10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4: СУБСИДИИ В ОТНОШЕНИИ ПЕРЕЛАВЛИВАЕМЫХ ЗАПАСОВ</w:t>
      </w:r>
    </w:p>
    <w:bookmarkEnd w:id="45"/>
    <w:p>
      <w:pPr>
        <w:spacing w:after="0"/>
        <w:ind w:left="0"/>
        <w:jc w:val="both"/>
      </w:pPr>
      <w:bookmarkStart w:name="z48" w:id="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действия наказаний прекращается в соответствии с законодательством или процедурами органа, вынесшего решение,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статье 3.2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Ни один член не предоставляет и не сохраняет субсидии на промысел или связанную с промыслом деятельность в отношении перелавливаемого запаса.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Для целей настоящей статьи рыбный запас является перелавливаемым, если он признан перелавливаемым прибрежным членом, под юрисдикцией которого ведется промысел, или соответствующей РФМО/А для тех районов и тех видов, которые находятся в ее компетенции, на основании наиболее достоверных научных данных, имеющихся у прибрежного члена или РФМО/А.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 Невзирая на </w:t>
      </w:r>
      <w:r>
        <w:rPr>
          <w:rFonts w:ascii="Times New Roman"/>
          <w:b w:val="false"/>
          <w:i w:val="false"/>
          <w:color w:val="000000"/>
          <w:sz w:val="28"/>
        </w:rPr>
        <w:t>статью 4.1</w:t>
      </w:r>
      <w:r>
        <w:rPr>
          <w:rFonts w:ascii="Times New Roman"/>
          <w:b w:val="false"/>
          <w:i w:val="false"/>
          <w:color w:val="000000"/>
          <w:sz w:val="28"/>
        </w:rPr>
        <w:t>, член может предоставлять или сохранять субсидии, указанные в статье 4.1, если такие субсидии или другие меры применяются для восстановления запаса до биологически устойчивого уровня.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В течение 2 лет с даты вступления в силу настоящего Соглашения субсидии, предоставляемые или сохраняемые развивающимися странами - членами, включая члены НРС, до и в пределах ИЭЗ освобождаются от действий, основанных на </w:t>
      </w:r>
      <w:r>
        <w:rPr>
          <w:rFonts w:ascii="Times New Roman"/>
          <w:b w:val="false"/>
          <w:i w:val="false"/>
          <w:color w:val="000000"/>
          <w:sz w:val="28"/>
        </w:rPr>
        <w:t>статьях 4.1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5: ДРУГИЕ СУБСИДИИ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Ни один член не предоставляет и не сохраняет субсидии на промысел или связанную с промыслом деятельность за пределами юрисдикции прибрежного члена или прибрежного государства, не являющегося членом, и вне компетенции соответствующей РФМО/А.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Член уделяет особое внимание и проявляет должную сдержанность при предоставлении субсидий судам, не плавающим под флагом этого члена.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Член уделяет особое внимание и проявляет должную сдержанность при предоставлении субсидий на промысел или связанную с промыслом деятельность в отношении запасов, статус которых неизвестен.</w:t>
      </w:r>
    </w:p>
    <w:bookmarkEnd w:id="54"/>
    <w:p>
      <w:pPr>
        <w:spacing w:after="0"/>
        <w:ind w:left="0"/>
        <w:jc w:val="both"/>
      </w:pPr>
      <w:bookmarkStart w:name="z56" w:id="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данного параграфа биологически устойчивый уровень - это уровень, определяемый прибрежным членом, обладающим юрисдикцией над районом, где осуществляется промысел или связанная с промыслом деятельность, с использованием опорных критериев, таких как максимальный устойчивый вылов (МУВ) или иные опорные критерии, соизмеримые с доступными для промысла данными; или определяемый соответствующей РФМО/А для тех районов и для тех видов, которые находятся в ее компетенции.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6: ОСОБЫЕ ПОЛОЖЕНИЯ ДЛЯ ЧЛЕНОВ НРС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проявляет должную сдержанность при вынесении на рассмотрение вопросов, касающихся членов НРС, и изучаемые пути решения учитывают особую ситуацию соответствующего члена НРС, если таковая имеется.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7: ТЕХНИЧЕСКАЯ ПОМОЩЬ И НАРАЩИВАНИЕ ПОТЕНЦИАЛА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техническая помощь и поддержка в наращивании потенциала для развивающихся стран - членов, включая члены НРС, предоставляются с целью соблюдения правил, предусмотренных настоящим Соглашением. В поддержку такой помощи в сотрудничестве с соответствующими международными организациями, такими как Продовольственная и сельскохозяйственная организация Объединенных Наций (ФАО) и Международный фонд сельскохозяйственного развития, в рамках ВТО создается добровольный механизм финансирования. Взносы членов ВТО в механизм совершаются исключительно на добровольной основе и не используют ресурсы регулярного бюджета.</w:t>
      </w:r>
    </w:p>
    <w:bookmarkEnd w:id="57"/>
    <w:bookmarkStart w:name="z1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8: УВЕДОМЛЕНИЕ И ПРОЗРАЧНОСТЬ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Без ущерба для статьи 25 Соглашения по СКМ и в целях усиления и улучшения уведомлений по рыболовным субсидиям, а также для обеспечения более эффективного надзора за выполнением обязательств по рыболовным субсидиям, каждый член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предоставляет следующую информацию в рамках регулярного уведомления по рыболовным субсидиям в соответствии со статьей 25 Соглашения по СКМ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: тип или вид промысловой деятельности, для которой предоставляется субсидия;</w:t>
      </w:r>
    </w:p>
    <w:bookmarkEnd w:id="60"/>
    <w:p>
      <w:pPr>
        <w:spacing w:after="0"/>
        <w:ind w:left="0"/>
        <w:jc w:val="both"/>
      </w:pPr>
      <w:bookmarkStart w:name="z61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</w:t>
      </w:r>
      <w:r>
        <w:rPr>
          <w:rFonts w:ascii="Times New Roman"/>
          <w:b w:val="false"/>
          <w:i w:val="false"/>
          <w:color w:val="000000"/>
          <w:sz w:val="28"/>
        </w:rPr>
        <w:t>статьи 8.1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предоставляют эту информацию в дополнение ко всей информации, требуемой в соответствии со статьей 25 Соглашения по СКМ, а также в соответствии с любым вопросником, используемым Комитетом по СКМ, например, G/SCM/6/Rev.l.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членов НРС и развивающихся стран - членов с годовой долей в общемировом объеме продукции морского промысла, не превышающей 0,8%, согласно самым последним опубликованным данным ФАО, распространяемым Секретариатом ВТО, уведомление о дополнительной информации в данном подпункте может осуществляться каждые четыре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 мере возможности предоставляет следующую информацию в рамках регулярного уведомления по рыболовным субсидиям в соответствии со статьей 25 Соглашения по СКМ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’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статус рыбных запасов в районе промысла, для которого предоставляется субсидия (например, перелов, максимально устойчивый вылов или недовылов), используемые опорные критерии, и являются ли такие запасы совместными с любым другим членом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или управляются ли они РФМО/А;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принятые меры по сохранению и управлению в отношении соответствующего рыбного запаса;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iii) мощность флота в районе промысла, для которого предоставляется субсидия;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iv) название и идентификационный номер рыболовного судна или судов, получающих субсидию; и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v) данные об улове по видам или группам видов в районе промысла, для которого предоставляется субсидия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Каждый член ежегодно уведомляет Комитет в письменной форме о списке судов и операторов, в отношении которых он вынес положительные решения о занятии ННН промыслом.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8.3 Каждый член в течение одного года с даты вступления в силу настоящего Соглашения информирует Комитет о существующих или принятых мерах по обеспечению выполнения и администрирования настоящего Соглашения, включая шаги, предпринятые для осуществления запретов,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 Кроме того, каждый член оперативно информирует Комитет о любых последующих изменениях таких мер и о новых мерах, принятых для осуществления запретов, предусмотренных в статье 3.</w:t>
      </w:r>
    </w:p>
    <w:bookmarkEnd w:id="69"/>
    <w:p>
      <w:pPr>
        <w:spacing w:after="0"/>
        <w:ind w:left="0"/>
        <w:jc w:val="both"/>
      </w:pPr>
      <w:bookmarkStart w:name="z70" w:id="7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Термин "совместные запасы" относится к запасам, которые встречаются в ИЭЗ двух или более прибрежных членов, либо в пределах ИЭЗ и в районе за ее пределами и примыкающем к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Вместо этого для многовидового промысла член может предоставить другие соответствующие и доступные данные об улове.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Каждый член в течение одного года с даты вступления в силу настоящего Соглашения представляет Комитету описание своего режима рыболовства со ссылками на свои законы, правила и административные процедуры, относящиеся к настоящему Соглашению, и оперативно информирует Комитет о любых изменениях после этого. Член может выполнить это обязательство, предоставив Комитету актуальную электронную ссылку на официальную веб-страницу данного члена или другую соответствующую официальную веб-страницу, содержащую данную информацию.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Член может запросить дополнительную информацию у члена, предоставляющего уведомление, относительно уведомлений и информации, предоставленных в соответствии с настоящей статьей. Член, предоставляющий уведомление, отвечает на такой запрос как можно быстрее в письменной форме и исчерпывающим образом. Если член считает, что уведомление или информация в соответствии с настоящей статьей не были предоставлены, он может довести этот вопрос до сведения такого другого члена или Комитета.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Члены уведомляют Комитет в письменной форме после вступления в силу настоящего Соглашения о любой РФМО/А, сторонами которой они являются. Такое уведомление должно содержать, как минимум, текст правового документа, учреждающего РФМО/А, район и виды, находящиеся в ее компетенции, информацию о статусе управляемых рыбных запасов, описание ее мер по сохранению и управлению, правила и процедуры, регулирующие решения о занятии ННН промыслом, и обновленные списки судов и/или операторов, которые в соответствии с ее решениями занимались ННН промыслом. Данное уведомление может быть представлено либо индивидуально, либо группой членов.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любых изменениях в этой информации оперативно сообщается Комитету. Секретариат Комитета ведет список РФМО/А, уведомления о которых поступили в соответствии с настоящей статьей.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 Члены признают, что уведомление о мере не предрешает (а) ее правовой статус по ГАТТ 1994, Соглашению по СКМ или настоящему Соглашению; (b) последствия меры по Соглашению по СКМ; или (с) характер самой меры.</w:t>
      </w:r>
    </w:p>
    <w:bookmarkEnd w:id="74"/>
    <w:p>
      <w:pPr>
        <w:spacing w:after="0"/>
        <w:ind w:left="0"/>
        <w:jc w:val="both"/>
      </w:pPr>
      <w:bookmarkStart w:name="z75" w:id="75"/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обязательство может быть выполнено путем предоставления актуальной электронной ссылки на соответствующую официальную веб-страницу члена, предоставляющего уведомление, или другую соответствующую официальную веб-страницу, где изложена эта информация.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8.8 Ничто в данной статье не требует предоставления конфиденциальной информации. </w:t>
      </w:r>
    </w:p>
    <w:bookmarkEnd w:id="76"/>
    <w:bookmarkStart w:name="z7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9: ИНСТИТУЦИОНАЛЬНЫЕ ПОЛОЖЕНИЯ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Настоящим учреждается Комитет по рыболовным субсидиям, состоящий из представителей от каждого члена. Комитет избирает своего председателя и проводит заседания не реже двух раз в год или, как это предусмотрено соответствующими положениями настоящего Соглашения, по запросу любого члена. Комитет выполняет обязанности, возложенные на него настоящим Соглашением или членами, и предоставляет членам возможность консультироваться по любым вопросам, связанным с действием настоящего Соглашения или содействием осуществлению его целей. Секретариат ВТО осуществляет функции секретариата Комитета.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 Комитет изучает всю информацию, предоставленную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настоящей статье, не реже одного раза в два года.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Комитет ежегодно проводит рассмотрение реализации и действия настоящего Соглашения с учетом его целей. Комитет ежегодно информирует Совет по торговле товарами о развитии событий за период, охватываемый такими обзорами.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Не позднее чем через пять лет после даты вступления в силу настоящего Соглашения и каждые три года после этого Комитет проводит обзор действия настоящего Соглашения с целью выявления всех необходимых изменений для улучшения действия настоящего Соглашения с учетом его целей. В соответствующих случаях Комитет может представлять Совету по торговле товарами предложения по внесению поправок в текст настоящего Соглашения, обращая при этом внимание, в частности, на опыт, накопленный в период его реализации.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 Комитет поддерживает тесные контакты с ФАО и другими соответствующими международными организациями в области управления рыболовством, включая соответствующие РФМО/А.</w:t>
      </w:r>
    </w:p>
    <w:bookmarkEnd w:id="82"/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10: УРЕГУЛИРОВАНИЕ СПОРОВ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Положения статей XXII и XXIII ГАТТ 1994 в том виде, как они разработаны и применяются в Договоренности о правилах и процедурах, регулирующих разрешение споров (ДРС), применяются к консультациям и урегулированию споров в рамках настоящего Соглашения, за исключением случаев, специально предусмотренных в настоящем Соглашении.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Без ущерба для пункта 1, положения статьи 4 Соглашения по СКМ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к консультациям и урегулированию споров в отношении выполнения 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11: ЗАКЛЮЧИТЕЛЬНЫЕ ПОЛОЖЕНИЯ</w:t>
      </w:r>
    </w:p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ничто в настоящем Соглашении не препятствует члену предоставлять субсидию на оказание помощи при бедствиях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условии, что субсидия: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ограничена оказанием помощи в случае определенного бедствия;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ограничена затронутой географической областью;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ограничена по времени; и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 случае предоставления субсидий на реконструкцию, направлена на восстановление только пострадавшего района промысла и/или пострадавшего флота до уровня до бедствия.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(а) Настоящее Соглашение, включая любые выводы, рекомендации и решения в отношении настоящего Соглашения, не имеет каких-либо правовых последствий в отношении территориальных претензий или делимитации морских границ.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Третейская группа, учрежденная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делает каких-либо выводов в отношении любой жалобы, которая потребовала бы от нее основывать свои выводы на любых заявленных территориальных претензиях или делимитации морских границ.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</w:p>
    <w:bookmarkEnd w:id="92"/>
    <w:p>
      <w:pPr>
        <w:spacing w:after="0"/>
        <w:ind w:left="0"/>
        <w:jc w:val="both"/>
      </w:pPr>
      <w:bookmarkStart w:name="z92" w:id="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1(b) и 1(c) статьи XXIII ГАТТ 1994 и статья 26 ДРС, не применяются к урегулированию споров по настоящему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данной статьи термин "запрещенная субсидия" в статье 4 Соглашения по СКМ относится к субсидиям, подпадающим под запрет в 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большей ясности данное положение не применяется к экономическим или финансовым кризисам.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 Ничто в настоящем Соглашении не должно толковаться или применяться таким образом, чтобы нанести ущерб юрисдикции, правам и обязанностям членов, возникающим в соответствии с международным правом, включая морское право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 За исключением случаев, предусмотренных настоящим Соглашением, ничто в настоящем Соглашении не подразумевает, что член становится связанным мерами или решениями либо признает любые РФМО/А, в которых он не является стороной или сотрудничающей стороной, не являющейся участником РФМО/А.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 Настоящее Соглашение не изменяет и не отменяет любые права и обязанности, предусмотренные Соглашением по СКМ.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12: ПРЕКРАЩЕНИЕ ДЕЙСТВИЯ СОГЛАШЕНИЯ, ЕСЛИ ВСЕОБЪЕМЛЮЩИЕ ПРАВИЛА НЕ ПРИНЯТЫ</w:t>
      </w:r>
    </w:p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всеобъемлющие правила не будут приняты в течение четырех лет после вступления настоящего Соглашения в силу, и если Генеральным советом не будет принято иное решение, то настоящее Соглашение немедленно прекращает действие.</w:t>
      </w:r>
    </w:p>
    <w:bookmarkEnd w:id="97"/>
    <w:p>
      <w:pPr>
        <w:spacing w:after="0"/>
        <w:ind w:left="0"/>
        <w:jc w:val="both"/>
      </w:pPr>
      <w:bookmarkStart w:name="z97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Данное ограничение также применяется к арбитру, назначенному в соответствии со статьей 25 Договоренности о правилах и процедурах, регулирующих разрешение споров.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Включая правила и процедуры РФМО/А.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я подтверждаю, что вышеуказанный текст является подлинной копией Протокола о внесении изменений в Марракешское соглашение об учреждении Всемирной торговой организации, Соглашение по рыболовным субсидиям, принятого в городе Женеве 17 июня 2022 г., оригинал которого передан на хранение Генеральному директору Всемирной торговой организации.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100"/>
    <w:p>
      <w:pPr>
        <w:spacing w:after="0"/>
        <w:ind w:left="0"/>
        <w:jc w:val="both"/>
      </w:pPr>
      <w:bookmarkStart w:name="z100" w:id="101"/>
      <w:r>
        <w:rPr>
          <w:rFonts w:ascii="Times New Roman"/>
          <w:b w:val="false"/>
          <w:i w:val="false"/>
          <w:color w:val="000000"/>
          <w:sz w:val="28"/>
        </w:rPr>
        <w:t xml:space="preserve">
      Нгози Оконджо-Ивеала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директор</w:t>
      </w:r>
    </w:p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я подтверждаю, что вышеуказанный текст Протокола о внесении изменений в Марракешское соглашение об учреждении Всемирной торговой организации (Соглашение по рыболовным субсидиям), принятого в городе Женеве 17 июня 2022 г., соответствует оригиналу текста Протокола на английском языке.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Вице-министр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