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0d3c" w14:textId="39a0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Организацией Объединенных Наций об организации Азиатско-Тихоокеанской министерской конференции по цифровой инклюзии и трансформации</w:t>
      </w:r>
    </w:p>
    <w:p>
      <w:pPr>
        <w:spacing w:after="0"/>
        <w:ind w:left="0"/>
        <w:jc w:val="both"/>
      </w:pPr>
      <w:r>
        <w:rPr>
          <w:rFonts w:ascii="Times New Roman"/>
          <w:b w:val="false"/>
          <w:i w:val="false"/>
          <w:color w:val="000000"/>
          <w:sz w:val="28"/>
        </w:rPr>
        <w:t>Закон Республики Казахстан от 15 июля 2024 года № 124-VIII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Организацией Объединенных Наций об организации Азиатско-Тихоокеанской министерской конференции по цифровой инклюзии и трансформации, совершенное в Бангкоке 22 апреля 2024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Неофициальный перевод </w:t>
            </w:r>
          </w:p>
        </w:tc>
      </w:tr>
    </w:tbl>
    <w:bookmarkStart w:name="z7"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Организацией Объединенных Наций об организации Азиатско-Тихоокеанской министерской конференции по цифровой инклюзии и трансформации </w:t>
      </w:r>
    </w:p>
    <w:bookmarkEnd w:id="1"/>
    <w:bookmarkStart w:name="z8" w:id="2"/>
    <w:p>
      <w:pPr>
        <w:spacing w:after="0"/>
        <w:ind w:left="0"/>
        <w:jc w:val="both"/>
      </w:pPr>
      <w:r>
        <w:rPr>
          <w:rFonts w:ascii="Times New Roman"/>
          <w:b w:val="false"/>
          <w:i w:val="false"/>
          <w:color w:val="000000"/>
          <w:sz w:val="28"/>
        </w:rPr>
        <w:t>
      Принимая во внимание, что Экономическая и социальная комиссия Организации Объединенных Наций для Азии и Тихого океана (далее - ЭСКАТО) на своей 79-й сессии Комиссии, состоявшейся 15-19 мая 2023 года, приняла приглашение Правительства Республики Казахстан (далее - Правительство) провести Азиатско-Тихоокеанскую министерскую конференцию по цифровой инклюзии и трансформации (далее - конференция) в городе Астане, Казахстан;</w:t>
      </w:r>
    </w:p>
    <w:bookmarkEnd w:id="2"/>
    <w:bookmarkStart w:name="z9" w:id="3"/>
    <w:p>
      <w:pPr>
        <w:spacing w:after="0"/>
        <w:ind w:left="0"/>
        <w:jc w:val="both"/>
      </w:pPr>
      <w:r>
        <w:rPr>
          <w:rFonts w:ascii="Times New Roman"/>
          <w:b w:val="false"/>
          <w:i w:val="false"/>
          <w:color w:val="000000"/>
          <w:sz w:val="28"/>
        </w:rPr>
        <w:t>
      учитывая, что Генеральная Ассамблея Организации Объединенных Наций в пункте 17 раздела А своей резолюции 47/202 от 22 декабря 1992 года подтвердила, что органы Организации Объединенных Наций могут проводить сессии за пределами своих установленных штаб-квартир, когда правительство, представляющее приглашение провести сессию на территории его страны, дало согласие возместить прямо или косвенно связанные с этим фактические дополнительные расходы после консультаций с Генеральным секретарем по поводу характера и возможных размеров этих расходов;</w:t>
      </w:r>
    </w:p>
    <w:bookmarkEnd w:id="3"/>
    <w:bookmarkStart w:name="z10" w:id="4"/>
    <w:p>
      <w:pPr>
        <w:spacing w:after="0"/>
        <w:ind w:left="0"/>
        <w:jc w:val="both"/>
      </w:pPr>
      <w:r>
        <w:rPr>
          <w:rFonts w:ascii="Times New Roman"/>
          <w:b w:val="false"/>
          <w:i w:val="false"/>
          <w:color w:val="000000"/>
          <w:sz w:val="28"/>
        </w:rPr>
        <w:t>
      таким образом, Правительство и Организация Объединенных Наций в лице ЭСКАТО согласились о нижеследующем:</w:t>
      </w:r>
    </w:p>
    <w:bookmarkEnd w:id="4"/>
    <w:bookmarkStart w:name="z11" w:id="5"/>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Сроки и место проведения конференции </w:t>
      </w:r>
    </w:p>
    <w:bookmarkEnd w:id="5"/>
    <w:bookmarkStart w:name="z12" w:id="6"/>
    <w:p>
      <w:pPr>
        <w:spacing w:after="0"/>
        <w:ind w:left="0"/>
        <w:jc w:val="both"/>
      </w:pPr>
      <w:r>
        <w:rPr>
          <w:rFonts w:ascii="Times New Roman"/>
          <w:b w:val="false"/>
          <w:i w:val="false"/>
          <w:color w:val="000000"/>
          <w:sz w:val="28"/>
        </w:rPr>
        <w:t>
      Конференция состоится в городе Астане, Республика Казахстан, с 3 по 5 сентября 2024 года.</w:t>
      </w:r>
    </w:p>
    <w:bookmarkEnd w:id="6"/>
    <w:bookmarkStart w:name="z13" w:id="7"/>
    <w:p>
      <w:pPr>
        <w:spacing w:after="0"/>
        <w:ind w:left="0"/>
        <w:jc w:val="left"/>
      </w:pPr>
      <w:r>
        <w:rPr>
          <w:rFonts w:ascii="Times New Roman"/>
          <w:b/>
          <w:i w:val="false"/>
          <w:color w:val="000000"/>
        </w:rPr>
        <w:t xml:space="preserve"> Статья II</w:t>
      </w:r>
      <w:r>
        <w:br/>
      </w:r>
      <w:r>
        <w:rPr>
          <w:rFonts w:ascii="Times New Roman"/>
          <w:b/>
          <w:i w:val="false"/>
          <w:color w:val="000000"/>
        </w:rPr>
        <w:t>Участие в конференции</w:t>
      </w:r>
    </w:p>
    <w:bookmarkEnd w:id="7"/>
    <w:bookmarkStart w:name="z14" w:id="8"/>
    <w:p>
      <w:pPr>
        <w:spacing w:after="0"/>
        <w:ind w:left="0"/>
        <w:jc w:val="both"/>
      </w:pPr>
      <w:r>
        <w:rPr>
          <w:rFonts w:ascii="Times New Roman"/>
          <w:b w:val="false"/>
          <w:i w:val="false"/>
          <w:color w:val="000000"/>
          <w:sz w:val="28"/>
        </w:rPr>
        <w:t>
      1. Конференция открыта для участия представителей или наблюдателей:</w:t>
      </w:r>
    </w:p>
    <w:bookmarkEnd w:id="8"/>
    <w:bookmarkStart w:name="z15" w:id="9"/>
    <w:p>
      <w:pPr>
        <w:spacing w:after="0"/>
        <w:ind w:left="0"/>
        <w:jc w:val="both"/>
      </w:pPr>
      <w:r>
        <w:rPr>
          <w:rFonts w:ascii="Times New Roman"/>
          <w:b w:val="false"/>
          <w:i w:val="false"/>
          <w:color w:val="000000"/>
          <w:sz w:val="28"/>
        </w:rPr>
        <w:t>
      (a) членов и ассоциированных членов ЭСКАТО;</w:t>
      </w:r>
    </w:p>
    <w:bookmarkEnd w:id="9"/>
    <w:bookmarkStart w:name="z16" w:id="10"/>
    <w:p>
      <w:pPr>
        <w:spacing w:after="0"/>
        <w:ind w:left="0"/>
        <w:jc w:val="both"/>
      </w:pPr>
      <w:r>
        <w:rPr>
          <w:rFonts w:ascii="Times New Roman"/>
          <w:b w:val="false"/>
          <w:i w:val="false"/>
          <w:color w:val="000000"/>
          <w:sz w:val="28"/>
        </w:rPr>
        <w:t>
      (b) других государств;</w:t>
      </w:r>
    </w:p>
    <w:bookmarkEnd w:id="10"/>
    <w:bookmarkStart w:name="z17" w:id="11"/>
    <w:p>
      <w:pPr>
        <w:spacing w:after="0"/>
        <w:ind w:left="0"/>
        <w:jc w:val="both"/>
      </w:pPr>
      <w:r>
        <w:rPr>
          <w:rFonts w:ascii="Times New Roman"/>
          <w:b w:val="false"/>
          <w:i w:val="false"/>
          <w:color w:val="000000"/>
          <w:sz w:val="28"/>
        </w:rPr>
        <w:t>
      (c) организаций, получивших от Генеральной Ассамблеи Организации Объединенных Наций постоянные приглашения участвовать в конференциях в качестве наблюдателей;</w:t>
      </w:r>
    </w:p>
    <w:bookmarkEnd w:id="11"/>
    <w:bookmarkStart w:name="z18" w:id="12"/>
    <w:p>
      <w:pPr>
        <w:spacing w:after="0"/>
        <w:ind w:left="0"/>
        <w:jc w:val="both"/>
      </w:pPr>
      <w:r>
        <w:rPr>
          <w:rFonts w:ascii="Times New Roman"/>
          <w:b w:val="false"/>
          <w:i w:val="false"/>
          <w:color w:val="000000"/>
          <w:sz w:val="28"/>
        </w:rPr>
        <w:t>
      (d) специализированных и смежных учреждений Организации Объединенных Наций;</w:t>
      </w:r>
    </w:p>
    <w:bookmarkEnd w:id="12"/>
    <w:bookmarkStart w:name="z19" w:id="13"/>
    <w:p>
      <w:pPr>
        <w:spacing w:after="0"/>
        <w:ind w:left="0"/>
        <w:jc w:val="both"/>
      </w:pPr>
      <w:r>
        <w:rPr>
          <w:rFonts w:ascii="Times New Roman"/>
          <w:b w:val="false"/>
          <w:i w:val="false"/>
          <w:color w:val="000000"/>
          <w:sz w:val="28"/>
        </w:rPr>
        <w:t>
      (e) других межправительственных организаций;</w:t>
      </w:r>
    </w:p>
    <w:bookmarkEnd w:id="13"/>
    <w:bookmarkStart w:name="z20" w:id="14"/>
    <w:p>
      <w:pPr>
        <w:spacing w:after="0"/>
        <w:ind w:left="0"/>
        <w:jc w:val="both"/>
      </w:pPr>
      <w:r>
        <w:rPr>
          <w:rFonts w:ascii="Times New Roman"/>
          <w:b w:val="false"/>
          <w:i w:val="false"/>
          <w:color w:val="000000"/>
          <w:sz w:val="28"/>
        </w:rPr>
        <w:t>
      (f) межправительственных органов Организации Объединенных Наций;</w:t>
      </w:r>
    </w:p>
    <w:bookmarkEnd w:id="14"/>
    <w:bookmarkStart w:name="z21" w:id="15"/>
    <w:p>
      <w:pPr>
        <w:spacing w:after="0"/>
        <w:ind w:left="0"/>
        <w:jc w:val="both"/>
      </w:pPr>
      <w:r>
        <w:rPr>
          <w:rFonts w:ascii="Times New Roman"/>
          <w:b w:val="false"/>
          <w:i w:val="false"/>
          <w:color w:val="000000"/>
          <w:sz w:val="28"/>
        </w:rPr>
        <w:t>
      (g) неправительственных организаций;</w:t>
      </w:r>
    </w:p>
    <w:bookmarkEnd w:id="15"/>
    <w:bookmarkStart w:name="z22" w:id="16"/>
    <w:p>
      <w:pPr>
        <w:spacing w:after="0"/>
        <w:ind w:left="0"/>
        <w:jc w:val="both"/>
      </w:pPr>
      <w:r>
        <w:rPr>
          <w:rFonts w:ascii="Times New Roman"/>
          <w:b w:val="false"/>
          <w:i w:val="false"/>
          <w:color w:val="000000"/>
          <w:sz w:val="28"/>
        </w:rPr>
        <w:t>
      (h) должностных лиц Секретариата Организации Объединенных Наций;</w:t>
      </w:r>
    </w:p>
    <w:bookmarkEnd w:id="16"/>
    <w:bookmarkStart w:name="z23" w:id="17"/>
    <w:p>
      <w:pPr>
        <w:spacing w:after="0"/>
        <w:ind w:left="0"/>
        <w:jc w:val="both"/>
      </w:pPr>
      <w:r>
        <w:rPr>
          <w:rFonts w:ascii="Times New Roman"/>
          <w:b w:val="false"/>
          <w:i w:val="false"/>
          <w:color w:val="000000"/>
          <w:sz w:val="28"/>
        </w:rPr>
        <w:t>
      (i) других лиц, приглашенных Организацией Объединенных Наций.</w:t>
      </w:r>
    </w:p>
    <w:bookmarkEnd w:id="17"/>
    <w:bookmarkStart w:name="z24" w:id="18"/>
    <w:p>
      <w:pPr>
        <w:spacing w:after="0"/>
        <w:ind w:left="0"/>
        <w:jc w:val="both"/>
      </w:pPr>
      <w:r>
        <w:rPr>
          <w:rFonts w:ascii="Times New Roman"/>
          <w:b w:val="false"/>
          <w:i w:val="false"/>
          <w:color w:val="000000"/>
          <w:sz w:val="28"/>
        </w:rPr>
        <w:t>
      2. Генеральный секретарь Организации Объединенных Наций назначает должностных лиц Секретариата Организации Объединенных Наций для участия в работе конференции в целях ее обслуживания.</w:t>
      </w:r>
    </w:p>
    <w:bookmarkEnd w:id="18"/>
    <w:bookmarkStart w:name="z25" w:id="19"/>
    <w:p>
      <w:pPr>
        <w:spacing w:after="0"/>
        <w:ind w:left="0"/>
        <w:jc w:val="both"/>
      </w:pPr>
      <w:r>
        <w:rPr>
          <w:rFonts w:ascii="Times New Roman"/>
          <w:b w:val="false"/>
          <w:i w:val="false"/>
          <w:color w:val="000000"/>
          <w:sz w:val="28"/>
        </w:rPr>
        <w:t>
      3. На открытые заседания конференции допускаются представители средств массовой информации, аккредитованные Организацией Объединенных Наций, по ее усмотрению после консультаций с Принимающей Стороной.</w:t>
      </w:r>
    </w:p>
    <w:bookmarkEnd w:id="19"/>
    <w:bookmarkStart w:name="z26" w:id="20"/>
    <w:p>
      <w:pPr>
        <w:spacing w:after="0"/>
        <w:ind w:left="0"/>
        <w:jc w:val="left"/>
      </w:pPr>
      <w:r>
        <w:rPr>
          <w:rFonts w:ascii="Times New Roman"/>
          <w:b/>
          <w:i w:val="false"/>
          <w:color w:val="000000"/>
        </w:rPr>
        <w:t xml:space="preserve"> Статья III</w:t>
      </w:r>
      <w:r>
        <w:br/>
      </w:r>
      <w:r>
        <w:rPr>
          <w:rFonts w:ascii="Times New Roman"/>
          <w:b/>
          <w:i w:val="false"/>
          <w:color w:val="000000"/>
        </w:rPr>
        <w:t>Помещения, оборудование, услуги и материально-технические ресурсы</w:t>
      </w:r>
    </w:p>
    <w:bookmarkEnd w:id="20"/>
    <w:bookmarkStart w:name="z27" w:id="21"/>
    <w:p>
      <w:pPr>
        <w:spacing w:after="0"/>
        <w:ind w:left="0"/>
        <w:jc w:val="both"/>
      </w:pPr>
      <w:r>
        <w:rPr>
          <w:rFonts w:ascii="Times New Roman"/>
          <w:b w:val="false"/>
          <w:i w:val="false"/>
          <w:color w:val="000000"/>
          <w:sz w:val="28"/>
        </w:rPr>
        <w:t xml:space="preserve">
      1. Правительство предоставляет необходимые помещения, включая конференц-залы для проведения неофициальных заседаний, конференционные служебные помещения, рабочие помещения и другие соответствующие помещения, указанные в </w:t>
      </w:r>
      <w:r>
        <w:rPr>
          <w:rFonts w:ascii="Times New Roman"/>
          <w:b w:val="false"/>
          <w:i w:val="false"/>
          <w:color w:val="000000"/>
          <w:sz w:val="28"/>
        </w:rPr>
        <w:t>приложении I</w:t>
      </w:r>
      <w:r>
        <w:rPr>
          <w:rFonts w:ascii="Times New Roman"/>
          <w:b w:val="false"/>
          <w:i w:val="false"/>
          <w:color w:val="000000"/>
          <w:sz w:val="28"/>
        </w:rPr>
        <w:t xml:space="preserve"> к настоящему Соглашению. Правительство за свой счет оборудует, оснащает и поддерживает в надлежащем состоянии все эти помещения и объекты таким образом, чтобы Организация Объединенных Наций считала их соответствующими для эффективного проведения конференции. Конференц-залы должны быть оборудованы для взаимного синхронного перевода с четырех (4) официальных языков ЭСКАТО ООН, а именно: английский, французский, китайский и русский. Кроме того, они должны быть оснащены для звукозаписи на указанных языках и оборудованием для работы прессы, телевидения, радио и кино в соответствии с требованиями Организации Объединенных Наций. Помещения остаются в распоряжении Организации Объединенных Наций 24 часа в сутки, за два дня до начала конференции и до одного дня после ее завершения.</w:t>
      </w:r>
    </w:p>
    <w:bookmarkEnd w:id="21"/>
    <w:bookmarkStart w:name="z28" w:id="22"/>
    <w:p>
      <w:pPr>
        <w:spacing w:after="0"/>
        <w:ind w:left="0"/>
        <w:jc w:val="both"/>
      </w:pPr>
      <w:r>
        <w:rPr>
          <w:rFonts w:ascii="Times New Roman"/>
          <w:b w:val="false"/>
          <w:i w:val="false"/>
          <w:color w:val="000000"/>
          <w:sz w:val="28"/>
        </w:rPr>
        <w:t>
      2. Правительство стремится обеспечить по мере возможности в пределах территории конференции: банк, почтовое отделение, телефон и телеграф, а также соответствующие пункты питания, туристическое агентство и центр административного обслуживания, оборудованные по согласованию с Организацией Объединенных Наций, для использования делегациями, участвующими в конференции на коммерческой основе.</w:t>
      </w:r>
    </w:p>
    <w:bookmarkEnd w:id="22"/>
    <w:bookmarkStart w:name="z29" w:id="23"/>
    <w:p>
      <w:pPr>
        <w:spacing w:after="0"/>
        <w:ind w:left="0"/>
        <w:jc w:val="both"/>
      </w:pPr>
      <w:r>
        <w:rPr>
          <w:rFonts w:ascii="Times New Roman"/>
          <w:b w:val="false"/>
          <w:i w:val="false"/>
          <w:color w:val="000000"/>
          <w:sz w:val="28"/>
        </w:rPr>
        <w:t>
      3. Принимающая Сторона берет на себя расходы по обеспечению всех необходимых коммунальных услуг, включая местную телефонную связь, для секретариата ЭСКАТО и его факсимильную или телефонную и электронную связь с ЭСКАТО (штаб-квартира в городе Бангкоке), когда такая связь будет санкционирована Исполнительным секретарем ЭСКАТО, включая передачу официальных информационных сообщений Организации Объединенных Наций между местом проведения конференции, центральными учреждениями Организации Объединенных Наций и различными информационными центрами Организации Объединенных Наций.</w:t>
      </w:r>
    </w:p>
    <w:bookmarkEnd w:id="23"/>
    <w:bookmarkStart w:name="z30" w:id="24"/>
    <w:p>
      <w:pPr>
        <w:spacing w:after="0"/>
        <w:ind w:left="0"/>
        <w:jc w:val="both"/>
      </w:pPr>
      <w:r>
        <w:rPr>
          <w:rFonts w:ascii="Times New Roman"/>
          <w:b w:val="false"/>
          <w:i w:val="false"/>
          <w:color w:val="000000"/>
          <w:sz w:val="28"/>
        </w:rPr>
        <w:t>
      4. Правительство берет на себя расходы по транспортировке и страхованию всего оборудования и материалов Организации Объединенных Наций, необходимых для обеспечения надлежащей работы конференции, от места нахождения любого служебного помещения Организации Объединенных Наций до места проведения конференции и обратно. Условия транспортировки таких оборудования и материалов определяются Организацией Объединенных Наций.</w:t>
      </w:r>
    </w:p>
    <w:bookmarkEnd w:id="24"/>
    <w:bookmarkStart w:name="z31" w:id="25"/>
    <w:p>
      <w:pPr>
        <w:spacing w:after="0"/>
        <w:ind w:left="0"/>
        <w:jc w:val="left"/>
      </w:pPr>
      <w:r>
        <w:rPr>
          <w:rFonts w:ascii="Times New Roman"/>
          <w:b/>
          <w:i w:val="false"/>
          <w:color w:val="000000"/>
        </w:rPr>
        <w:t xml:space="preserve"> Статья IV</w:t>
      </w:r>
      <w:r>
        <w:br/>
      </w:r>
      <w:r>
        <w:rPr>
          <w:rFonts w:ascii="Times New Roman"/>
          <w:b/>
          <w:i w:val="false"/>
          <w:color w:val="000000"/>
        </w:rPr>
        <w:t>Размещение</w:t>
      </w:r>
    </w:p>
    <w:bookmarkEnd w:id="25"/>
    <w:bookmarkStart w:name="z32" w:id="26"/>
    <w:p>
      <w:pPr>
        <w:spacing w:after="0"/>
        <w:ind w:left="0"/>
        <w:jc w:val="both"/>
      </w:pPr>
      <w:r>
        <w:rPr>
          <w:rFonts w:ascii="Times New Roman"/>
          <w:b w:val="false"/>
          <w:i w:val="false"/>
          <w:color w:val="000000"/>
          <w:sz w:val="28"/>
        </w:rPr>
        <w:t>
      Правительство будет стремиться обеспечить надлежащее размещение участников конференции в гостиницах или других местах проживания по разумным коммерческим ставкам.</w:t>
      </w:r>
    </w:p>
    <w:bookmarkEnd w:id="26"/>
    <w:bookmarkStart w:name="z33" w:id="27"/>
    <w:p>
      <w:pPr>
        <w:spacing w:after="0"/>
        <w:ind w:left="0"/>
        <w:jc w:val="left"/>
      </w:pPr>
      <w:r>
        <w:rPr>
          <w:rFonts w:ascii="Times New Roman"/>
          <w:b/>
          <w:i w:val="false"/>
          <w:color w:val="000000"/>
        </w:rPr>
        <w:t xml:space="preserve"> Статья V</w:t>
      </w:r>
      <w:r>
        <w:br/>
      </w:r>
      <w:r>
        <w:rPr>
          <w:rFonts w:ascii="Times New Roman"/>
          <w:b/>
          <w:i w:val="false"/>
          <w:color w:val="000000"/>
        </w:rPr>
        <w:t>Медицинское обслуживание</w:t>
      </w:r>
    </w:p>
    <w:bookmarkEnd w:id="27"/>
    <w:bookmarkStart w:name="z34" w:id="28"/>
    <w:p>
      <w:pPr>
        <w:spacing w:after="0"/>
        <w:ind w:left="0"/>
        <w:jc w:val="both"/>
      </w:pPr>
      <w:r>
        <w:rPr>
          <w:rFonts w:ascii="Times New Roman"/>
          <w:b w:val="false"/>
          <w:i w:val="false"/>
          <w:color w:val="000000"/>
          <w:sz w:val="28"/>
        </w:rPr>
        <w:t>
      1. Правительство обеспечивает за свой счет в месте проведения конференции медицинское обслуживание, необходимое для оказания первой помощи участникам конференции при возникновении чрезвычайных обстоятельств.</w:t>
      </w:r>
    </w:p>
    <w:bookmarkEnd w:id="28"/>
    <w:bookmarkStart w:name="z35" w:id="29"/>
    <w:p>
      <w:pPr>
        <w:spacing w:after="0"/>
        <w:ind w:left="0"/>
        <w:jc w:val="both"/>
      </w:pPr>
      <w:r>
        <w:rPr>
          <w:rFonts w:ascii="Times New Roman"/>
          <w:b w:val="false"/>
          <w:i w:val="false"/>
          <w:color w:val="000000"/>
          <w:sz w:val="28"/>
        </w:rPr>
        <w:t>
      2. В случае чрезвычайных ситуаций Правительство обеспечивает немедленную транспортировку и госпитализацию в больницу. Правительство обеспечит немедленный доступ и госпитализацию в больницу по мере необходимости, а также постоянно доступный на вызов транспорт.</w:t>
      </w:r>
    </w:p>
    <w:bookmarkEnd w:id="29"/>
    <w:bookmarkStart w:name="z36" w:id="30"/>
    <w:p>
      <w:pPr>
        <w:spacing w:after="0"/>
        <w:ind w:left="0"/>
        <w:jc w:val="left"/>
      </w:pPr>
      <w:r>
        <w:rPr>
          <w:rFonts w:ascii="Times New Roman"/>
          <w:b/>
          <w:i w:val="false"/>
          <w:color w:val="000000"/>
        </w:rPr>
        <w:t xml:space="preserve"> Статья VI</w:t>
      </w:r>
      <w:r>
        <w:br/>
      </w:r>
      <w:r>
        <w:rPr>
          <w:rFonts w:ascii="Times New Roman"/>
          <w:b/>
          <w:i w:val="false"/>
          <w:color w:val="000000"/>
        </w:rPr>
        <w:t>Транспорт</w:t>
      </w:r>
    </w:p>
    <w:bookmarkEnd w:id="30"/>
    <w:bookmarkStart w:name="z37" w:id="31"/>
    <w:p>
      <w:pPr>
        <w:spacing w:after="0"/>
        <w:ind w:left="0"/>
        <w:jc w:val="both"/>
      </w:pPr>
      <w:r>
        <w:rPr>
          <w:rFonts w:ascii="Times New Roman"/>
          <w:b w:val="false"/>
          <w:i w:val="false"/>
          <w:color w:val="000000"/>
          <w:sz w:val="28"/>
        </w:rPr>
        <w:t>
      1. Правительство обеспечивает транспорт между международным аэропортом Нурсултана Назарбаева и территорией проведения конференции, а также основными гостиницами для сотрудников секретариата Организации Объединенных Наций, обслуживающих конференцию, по их прибытии и отбытии.</w:t>
      </w:r>
    </w:p>
    <w:bookmarkEnd w:id="31"/>
    <w:bookmarkStart w:name="z38" w:id="32"/>
    <w:p>
      <w:pPr>
        <w:spacing w:after="0"/>
        <w:ind w:left="0"/>
        <w:jc w:val="both"/>
      </w:pPr>
      <w:r>
        <w:rPr>
          <w:rFonts w:ascii="Times New Roman"/>
          <w:b w:val="false"/>
          <w:i w:val="false"/>
          <w:color w:val="000000"/>
          <w:sz w:val="28"/>
        </w:rPr>
        <w:t>
      2. Правительство обеспечивает наличие транспортных средств для всех участников конференции при поездках между международным аэропортом имени Нурсултана Назарбаева, основными гостиницами проживания и местом проведения конференции.</w:t>
      </w:r>
    </w:p>
    <w:bookmarkEnd w:id="32"/>
    <w:bookmarkStart w:name="z39" w:id="33"/>
    <w:p>
      <w:pPr>
        <w:spacing w:after="0"/>
        <w:ind w:left="0"/>
        <w:jc w:val="both"/>
      </w:pPr>
      <w:r>
        <w:rPr>
          <w:rFonts w:ascii="Times New Roman"/>
          <w:b w:val="false"/>
          <w:i w:val="false"/>
          <w:color w:val="000000"/>
          <w:sz w:val="28"/>
        </w:rPr>
        <w:t>
      3. Правительство предоставляет по согласованию с Организацией Объединенных Наций надлежащее количество автомобилей с водителями для использования в официальных целях главными должностными лицами и секретариатом конференции, а также другой локальный транспорт, необходимый секретариату в связи с проведением конференции.</w:t>
      </w:r>
    </w:p>
    <w:bookmarkEnd w:id="33"/>
    <w:bookmarkStart w:name="z40" w:id="34"/>
    <w:p>
      <w:pPr>
        <w:spacing w:after="0"/>
        <w:ind w:left="0"/>
        <w:jc w:val="both"/>
      </w:pPr>
      <w:r>
        <w:rPr>
          <w:rFonts w:ascii="Times New Roman"/>
          <w:b w:val="false"/>
          <w:i w:val="false"/>
          <w:color w:val="000000"/>
          <w:sz w:val="28"/>
        </w:rPr>
        <w:t>
      4. Координация и использование легковых автомобилей, автобусов и микроавтобусов, предоставляемых в соответствии с настоящей статьей, обеспечиваются диспетчерами транспортной службы, предоставляемой Правительством.</w:t>
      </w:r>
    </w:p>
    <w:bookmarkEnd w:id="34"/>
    <w:bookmarkStart w:name="z41" w:id="35"/>
    <w:p>
      <w:pPr>
        <w:spacing w:after="0"/>
        <w:ind w:left="0"/>
        <w:jc w:val="left"/>
      </w:pPr>
      <w:r>
        <w:rPr>
          <w:rFonts w:ascii="Times New Roman"/>
          <w:b/>
          <w:i w:val="false"/>
          <w:color w:val="000000"/>
        </w:rPr>
        <w:t xml:space="preserve"> Статья VII</w:t>
      </w:r>
      <w:r>
        <w:br/>
      </w:r>
      <w:r>
        <w:rPr>
          <w:rFonts w:ascii="Times New Roman"/>
          <w:b/>
          <w:i w:val="false"/>
          <w:color w:val="000000"/>
        </w:rPr>
        <w:t>Обеспечение безопасности</w:t>
      </w:r>
    </w:p>
    <w:bookmarkEnd w:id="35"/>
    <w:bookmarkStart w:name="z42" w:id="36"/>
    <w:p>
      <w:pPr>
        <w:spacing w:after="0"/>
        <w:ind w:left="0"/>
        <w:jc w:val="both"/>
      </w:pPr>
      <w:r>
        <w:rPr>
          <w:rFonts w:ascii="Times New Roman"/>
          <w:b w:val="false"/>
          <w:i w:val="false"/>
          <w:color w:val="000000"/>
          <w:sz w:val="28"/>
        </w:rPr>
        <w:t>
      Правительство обеспечивает полицейскую охрану для обеспечения эффективного функционирования конференции в атмосфере безопасности и спокойствия, свободной от любого вмешательства. При этом полицейские службы будут находиться под прямым руководством и контролем старшего сотрудника, предоставленного Правительством, который будет работать в сотрудничестве с назначенным старшим должностным лицом Организации Объединенных Наций. Порядок сотрудничества между старшим сотрудником Правительства и назначенным старшим должностным лицом Департамента охраны и безопасности Организации Объединенных Наций будет определен в письменном документе. При этом безопасность будет также обеспечиваться на участках, прилегающих к помещениям, в которых будет проводиться конференция.</w:t>
      </w:r>
    </w:p>
    <w:bookmarkEnd w:id="36"/>
    <w:bookmarkStart w:name="z43" w:id="37"/>
    <w:p>
      <w:pPr>
        <w:spacing w:after="0"/>
        <w:ind w:left="0"/>
        <w:jc w:val="left"/>
      </w:pPr>
      <w:r>
        <w:rPr>
          <w:rFonts w:ascii="Times New Roman"/>
          <w:b/>
          <w:i w:val="false"/>
          <w:color w:val="000000"/>
        </w:rPr>
        <w:t xml:space="preserve"> Статья VIII</w:t>
      </w:r>
      <w:r>
        <w:br/>
      </w:r>
      <w:r>
        <w:rPr>
          <w:rFonts w:ascii="Times New Roman"/>
          <w:b/>
          <w:i w:val="false"/>
          <w:color w:val="000000"/>
        </w:rPr>
        <w:t>Местный персонал</w:t>
      </w:r>
    </w:p>
    <w:bookmarkEnd w:id="37"/>
    <w:bookmarkStart w:name="z44" w:id="38"/>
    <w:p>
      <w:pPr>
        <w:spacing w:after="0"/>
        <w:ind w:left="0"/>
        <w:jc w:val="both"/>
      </w:pPr>
      <w:r>
        <w:rPr>
          <w:rFonts w:ascii="Times New Roman"/>
          <w:b w:val="false"/>
          <w:i w:val="false"/>
          <w:color w:val="000000"/>
          <w:sz w:val="28"/>
        </w:rPr>
        <w:t>
      1. Правительство предоставляет за свой счет должностное лицо, отвечающее за обеспечение связи, которое наделяется необходимыми полномочиями и несет ответственность на основе консультаций с Организацией Объединенных Наций за принятие и осуществление необходимых для проведения конференции административных и кадровых мер в соответствии с требованиями, предусмотренными настоящим Соглашением.</w:t>
      </w:r>
    </w:p>
    <w:bookmarkEnd w:id="38"/>
    <w:bookmarkStart w:name="z45" w:id="39"/>
    <w:p>
      <w:pPr>
        <w:spacing w:after="0"/>
        <w:ind w:left="0"/>
        <w:jc w:val="both"/>
      </w:pPr>
      <w:r>
        <w:rPr>
          <w:rFonts w:ascii="Times New Roman"/>
          <w:b w:val="false"/>
          <w:i w:val="false"/>
          <w:color w:val="000000"/>
          <w:sz w:val="28"/>
        </w:rPr>
        <w:t xml:space="preserve">
      2. Правительство нанимает и предоставляет за свой счет необходимое число секретарей, машинисток, делопроизводителей, персонала для печати и распространения документов, помощников должностных лиц, обслуживающих конференцию, швейцаров, курьеров, двуязычного персонала на стойке приема регистрации, телефонных консультантов, уборщиков и рабочих, необходимых для надлежащего функционирования конференции, а также водителей для автомобилей, упомянутых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VI настоящего Соглашения. Потребность в этом персонале будет определена Организацией Объединенных Наций на основе консультаций с Правительством. Некоторый персонал должен быть в распоряжении не позднее чем за неделю до открытия конференции и не более шести суток после завершения ее работы в соответствии с требованиями Организации Объединенных Наций.</w:t>
      </w:r>
    </w:p>
    <w:bookmarkEnd w:id="39"/>
    <w:bookmarkStart w:name="z46" w:id="40"/>
    <w:p>
      <w:pPr>
        <w:spacing w:after="0"/>
        <w:ind w:left="0"/>
        <w:jc w:val="left"/>
      </w:pPr>
      <w:r>
        <w:rPr>
          <w:rFonts w:ascii="Times New Roman"/>
          <w:b/>
          <w:i w:val="false"/>
          <w:color w:val="000000"/>
        </w:rPr>
        <w:t xml:space="preserve"> Статья IX</w:t>
      </w:r>
      <w:r>
        <w:br/>
      </w:r>
      <w:r>
        <w:rPr>
          <w:rFonts w:ascii="Times New Roman"/>
          <w:b/>
          <w:i w:val="false"/>
          <w:color w:val="000000"/>
        </w:rPr>
        <w:t>Финансовые условия</w:t>
      </w:r>
    </w:p>
    <w:bookmarkEnd w:id="40"/>
    <w:bookmarkStart w:name="z47" w:id="41"/>
    <w:p>
      <w:pPr>
        <w:spacing w:after="0"/>
        <w:ind w:left="0"/>
        <w:jc w:val="both"/>
      </w:pPr>
      <w:r>
        <w:rPr>
          <w:rFonts w:ascii="Times New Roman"/>
          <w:b w:val="false"/>
          <w:i w:val="false"/>
          <w:color w:val="000000"/>
          <w:sz w:val="28"/>
        </w:rPr>
        <w:t>
      1. Правительство в дополнение к финансовым обязательствам, предусмотренным в других разделах настоящего Соглашения, в соответствии с пунктом 17 раздела А резолюции 47/202 от 22 декабря 1992 года Генеральной Ассамблеи несет фактические дополнительные расходы, прямо или косвенно связанные с проведением конференции в Казахстане, а не в Бангкоке. Такие расходы, которые предварительно оцениваются примерно в 237302.84 долларов США (двести тридцать семь тысяч триста два доллара США и восемьдесят четыре цента), включают, но не ограничиваются, фактическими дополнительными расходами на командирование сотрудников Организации Объединенных Наций, назначенных для подготовки и участия в конференции, а также расходами на перевозку любого необходимого оборудования и материалов. Организация поездок должностных лиц Организации Объединенных Наций, необходимых для подготовки или обслуживания конференции, и перевозки любого необходимого оборудования и материалов, осуществляется Секретариатом в соответствии с положениями и правилами о персонале Организации Объединенных Наций и соответствующей административной практикой в отношении норм проезда, норм провоза багажа, суточных и терминальных расходов. Список должностных лиц Организации Объединенных Наций, необходимых для обслуживания конференции, указан в приложении II к настоящему Соглашению. В приложении II настоящего Соглашения указана смета дополнительных расходов, которые покрываются Правительством.</w:t>
      </w:r>
    </w:p>
    <w:bookmarkEnd w:id="41"/>
    <w:bookmarkStart w:name="z48" w:id="42"/>
    <w:p>
      <w:pPr>
        <w:spacing w:after="0"/>
        <w:ind w:left="0"/>
        <w:jc w:val="both"/>
      </w:pPr>
      <w:r>
        <w:rPr>
          <w:rFonts w:ascii="Times New Roman"/>
          <w:b w:val="false"/>
          <w:i w:val="false"/>
          <w:color w:val="000000"/>
          <w:sz w:val="28"/>
        </w:rPr>
        <w:t>
      2. Правительство 28 ноября 2023 года внесло в Организацию Объединенных Наций сумму в размере 237302.84 долларов США (двести тридцать семь тысяч триста два доллара США и восемьдесят четыре цента), что составляет общую оценочную стоимость расходов, указанную в пункте 1 статьи ІХ настоящего Соглашения. При необходимости Правительство производит дополнительные авансовые выплаты по запросу Организации Объединенных Наций с тем, чтобы последняя не была вынуждена финансировать дополнительные расходы, ответственность за которые несет Правительство.</w:t>
      </w:r>
    </w:p>
    <w:bookmarkEnd w:id="42"/>
    <w:bookmarkStart w:name="z49" w:id="43"/>
    <w:p>
      <w:pPr>
        <w:spacing w:after="0"/>
        <w:ind w:left="0"/>
        <w:jc w:val="both"/>
      </w:pPr>
      <w:r>
        <w:rPr>
          <w:rFonts w:ascii="Times New Roman"/>
          <w:b w:val="false"/>
          <w:i w:val="false"/>
          <w:color w:val="000000"/>
          <w:sz w:val="28"/>
        </w:rPr>
        <w:t xml:space="preserve">
      3. Сумма взноса и предоставляемые авансы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IX настоящего Соглашения используются исключительно для оплаты обязательств Организации Объединенных Наций в отношении конференции.</w:t>
      </w:r>
    </w:p>
    <w:bookmarkEnd w:id="43"/>
    <w:bookmarkStart w:name="z50" w:id="44"/>
    <w:p>
      <w:pPr>
        <w:spacing w:after="0"/>
        <w:ind w:left="0"/>
        <w:jc w:val="both"/>
      </w:pPr>
      <w:r>
        <w:rPr>
          <w:rFonts w:ascii="Times New Roman"/>
          <w:b w:val="false"/>
          <w:i w:val="false"/>
          <w:color w:val="000000"/>
          <w:sz w:val="28"/>
        </w:rPr>
        <w:t xml:space="preserve">
      4. Организация Объединенных Наций после окончания конференции предоставляет Правительству подробный отчет о фактических дополнительных расходах, понесенных Организацией Объединенных Наций и подлежащих оплате Правительством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IX настоящего Соглашения. Эти расходы будут выражены в долларах США по официальному обменному курсу Организации Объединенных Наций на момент осуществления платежей. На основании этого подробного отчета Организация Объединенных Наций возвратит Правительству любые неизрасходованные средства из депозита или авансов, указанных в пункте 2 статьи IX настоящего Соглашения. Окончательные счета будут подлежать аудиту в соответствии с финансовыми правилами и положениями Организации Объединенных Наций, а окончательная корректировка счетов будет производиться с учетом любых замечаний, выявленных в результате аудита, проведенного Комиссией ревизоров Организации Объединенных Наций, чье решение будет окончательным и принятым как Организацией Объединенных Наций, так и Правительством.</w:t>
      </w:r>
    </w:p>
    <w:bookmarkEnd w:id="44"/>
    <w:bookmarkStart w:name="z51" w:id="45"/>
    <w:p>
      <w:pPr>
        <w:spacing w:after="0"/>
        <w:ind w:left="0"/>
        <w:jc w:val="both"/>
      </w:pPr>
      <w:r>
        <w:rPr>
          <w:rFonts w:ascii="Times New Roman"/>
          <w:b w:val="false"/>
          <w:i w:val="false"/>
          <w:color w:val="000000"/>
          <w:sz w:val="28"/>
        </w:rPr>
        <w:t>
      5. Правительство в дополнение к предыдущим пунктам вносит взнос в размере 535212.64 долларов США (пятьсот тридцать пять тысяч двести двенадцать долларов США и шестьдесят четыре цента) на реализацию проекта ЭСКАТО "Укрепление сотрудничества в Азиатско-Тихоокеанском регионе в целях расширения доступа к цифровым технологиям и трансформации", копия проекта концептуальной записки указана в приложении III настоящего Соглашения. Условия и порядок управления данным взносом регулируются отдельным положением.</w:t>
      </w:r>
    </w:p>
    <w:bookmarkEnd w:id="45"/>
    <w:bookmarkStart w:name="z52" w:id="46"/>
    <w:p>
      <w:pPr>
        <w:spacing w:after="0"/>
        <w:ind w:left="0"/>
        <w:jc w:val="left"/>
      </w:pPr>
      <w:r>
        <w:rPr>
          <w:rFonts w:ascii="Times New Roman"/>
          <w:b/>
          <w:i w:val="false"/>
          <w:color w:val="000000"/>
        </w:rPr>
        <w:t xml:space="preserve"> Статья X</w:t>
      </w:r>
      <w:r>
        <w:br/>
      </w:r>
      <w:r>
        <w:rPr>
          <w:rFonts w:ascii="Times New Roman"/>
          <w:b/>
          <w:i w:val="false"/>
          <w:color w:val="000000"/>
        </w:rPr>
        <w:t>Ответственность</w:t>
      </w:r>
    </w:p>
    <w:bookmarkEnd w:id="46"/>
    <w:bookmarkStart w:name="z53" w:id="47"/>
    <w:p>
      <w:pPr>
        <w:spacing w:after="0"/>
        <w:ind w:left="0"/>
        <w:jc w:val="both"/>
      </w:pPr>
      <w:r>
        <w:rPr>
          <w:rFonts w:ascii="Times New Roman"/>
          <w:b w:val="false"/>
          <w:i w:val="false"/>
          <w:color w:val="000000"/>
          <w:sz w:val="28"/>
        </w:rPr>
        <w:t>
      1. Правительство несет ответственность за принятие мер в связи с любыми действиями, претензиями или другими требованиями в отношении Организации Объединенных Наций или ее должностных лиц, возникших в результате:</w:t>
      </w:r>
    </w:p>
    <w:bookmarkEnd w:id="47"/>
    <w:bookmarkStart w:name="z54" w:id="48"/>
    <w:p>
      <w:pPr>
        <w:spacing w:after="0"/>
        <w:ind w:left="0"/>
        <w:jc w:val="both"/>
      </w:pPr>
      <w:r>
        <w:rPr>
          <w:rFonts w:ascii="Times New Roman"/>
          <w:b w:val="false"/>
          <w:i w:val="false"/>
          <w:color w:val="000000"/>
          <w:sz w:val="28"/>
        </w:rPr>
        <w:t>
      (a) травмы лиц или повреждения, или утраты имущества на территории, указанной в статье III настоящего Соглашения, которая предоставлена или находится под контролем Правительства;</w:t>
      </w:r>
    </w:p>
    <w:bookmarkEnd w:id="48"/>
    <w:bookmarkStart w:name="z55" w:id="49"/>
    <w:p>
      <w:pPr>
        <w:spacing w:after="0"/>
        <w:ind w:left="0"/>
        <w:jc w:val="both"/>
      </w:pPr>
      <w:r>
        <w:rPr>
          <w:rFonts w:ascii="Times New Roman"/>
          <w:b w:val="false"/>
          <w:i w:val="false"/>
          <w:color w:val="000000"/>
          <w:sz w:val="28"/>
        </w:rPr>
        <w:t xml:space="preserve">
      (b) травмы лиц или повреждения, или утраты имущества при использовании транспортных услуг, указанных в </w:t>
      </w:r>
      <w:r>
        <w:rPr>
          <w:rFonts w:ascii="Times New Roman"/>
          <w:b w:val="false"/>
          <w:i w:val="false"/>
          <w:color w:val="000000"/>
          <w:sz w:val="28"/>
        </w:rPr>
        <w:t>статье VI</w:t>
      </w:r>
      <w:r>
        <w:rPr>
          <w:rFonts w:ascii="Times New Roman"/>
          <w:b w:val="false"/>
          <w:i w:val="false"/>
          <w:color w:val="000000"/>
          <w:sz w:val="28"/>
        </w:rPr>
        <w:t xml:space="preserve"> настоящего Соглашения, которые предоставлены или находятся под контролем Правительства;</w:t>
      </w:r>
    </w:p>
    <w:bookmarkEnd w:id="49"/>
    <w:bookmarkStart w:name="z56" w:id="50"/>
    <w:p>
      <w:pPr>
        <w:spacing w:after="0"/>
        <w:ind w:left="0"/>
        <w:jc w:val="both"/>
      </w:pPr>
      <w:r>
        <w:rPr>
          <w:rFonts w:ascii="Times New Roman"/>
          <w:b w:val="false"/>
          <w:i w:val="false"/>
          <w:color w:val="000000"/>
          <w:sz w:val="28"/>
        </w:rPr>
        <w:t xml:space="preserve">
      (c) трудоустройства персонала, предоставленного Правительством для нужд конференции в соответствии со </w:t>
      </w:r>
      <w:r>
        <w:rPr>
          <w:rFonts w:ascii="Times New Roman"/>
          <w:b w:val="false"/>
          <w:i w:val="false"/>
          <w:color w:val="000000"/>
          <w:sz w:val="28"/>
        </w:rPr>
        <w:t>статьей VII</w:t>
      </w:r>
      <w:r>
        <w:rPr>
          <w:rFonts w:ascii="Times New Roman"/>
          <w:b w:val="false"/>
          <w:i w:val="false"/>
          <w:color w:val="000000"/>
          <w:sz w:val="28"/>
        </w:rPr>
        <w:t xml:space="preserve"> настоящего Соглашения.</w:t>
      </w:r>
    </w:p>
    <w:bookmarkEnd w:id="50"/>
    <w:bookmarkStart w:name="z57" w:id="51"/>
    <w:p>
      <w:pPr>
        <w:spacing w:after="0"/>
        <w:ind w:left="0"/>
        <w:jc w:val="both"/>
      </w:pPr>
      <w:r>
        <w:rPr>
          <w:rFonts w:ascii="Times New Roman"/>
          <w:b w:val="false"/>
          <w:i w:val="false"/>
          <w:color w:val="000000"/>
          <w:sz w:val="28"/>
        </w:rPr>
        <w:t>
      2. Правительство освобождает от ответственности Организацию Объединенных Наций и ее должностных лиц, принимает соответствующие меры для решения вопросов, связанных с любыми действиями, претензиями или другими требованиями в отношении Организации Объединенных Наций и ее должностных лиц, связанных с деятельностью, за исключением тех случаев, когда Правительство и Организация Объединенных Наций соглашаются, что такие действия, претензии или требования обусловлены грубой небрежностью или умышленным неправомерным поведением должностных лиц Организации Объединенных Наций.</w:t>
      </w:r>
    </w:p>
    <w:bookmarkEnd w:id="51"/>
    <w:bookmarkStart w:name="z58" w:id="52"/>
    <w:p>
      <w:pPr>
        <w:spacing w:after="0"/>
        <w:ind w:left="0"/>
        <w:jc w:val="left"/>
      </w:pPr>
      <w:r>
        <w:rPr>
          <w:rFonts w:ascii="Times New Roman"/>
          <w:b/>
          <w:i w:val="false"/>
          <w:color w:val="000000"/>
        </w:rPr>
        <w:t xml:space="preserve"> Статья XI</w:t>
      </w:r>
      <w:r>
        <w:br/>
      </w:r>
      <w:r>
        <w:rPr>
          <w:rFonts w:ascii="Times New Roman"/>
          <w:b/>
          <w:i w:val="false"/>
          <w:color w:val="000000"/>
        </w:rPr>
        <w:t>Привилегии и иммунитеты</w:t>
      </w:r>
    </w:p>
    <w:bookmarkEnd w:id="52"/>
    <w:bookmarkStart w:name="z59" w:id="53"/>
    <w:p>
      <w:pPr>
        <w:spacing w:after="0"/>
        <w:ind w:left="0"/>
        <w:jc w:val="both"/>
      </w:pPr>
      <w:r>
        <w:rPr>
          <w:rFonts w:ascii="Times New Roman"/>
          <w:b w:val="false"/>
          <w:i w:val="false"/>
          <w:color w:val="000000"/>
          <w:sz w:val="28"/>
        </w:rPr>
        <w:t xml:space="preserve">
      1. Конвенция о привилегиях и иммунитетах Организации Объединенных Наций, принятая Генеральной Ассамблеей 13 февраля 1946 года (далее - Конвенция), участником которой является Казахстан, применяется в отношении конференции. В частности, представители членов и ассоциированных членов ЭСКАТО и государств, упомянутых в подпунктах а) и b) </w:t>
      </w:r>
      <w:r>
        <w:rPr>
          <w:rFonts w:ascii="Times New Roman"/>
          <w:b w:val="false"/>
          <w:i w:val="false"/>
          <w:color w:val="000000"/>
          <w:sz w:val="28"/>
        </w:rPr>
        <w:t>пункта 1</w:t>
      </w:r>
      <w:r>
        <w:rPr>
          <w:rFonts w:ascii="Times New Roman"/>
          <w:b w:val="false"/>
          <w:i w:val="false"/>
          <w:color w:val="000000"/>
          <w:sz w:val="28"/>
        </w:rPr>
        <w:t xml:space="preserve"> статьи II настоящего Соглашения, пользуются привилегиями и иммунитетами, предусмотренными статьей IV Конвенции, должностные лица Организации Объединенных Наций, выполняющие функции в связи с проведением конференции и указанные в подпункте h)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II настоящего Соглашения, пользуются привилегиями и иммунитетами, предусмотренными статьями V и VII Конвенции, а любой эксперт, откомандированный от имени Организации Объединенных Наций в связи с проведением конференции, пользуется привилегиями и иммунитетами, предусмотренными статьями VI и VII Конвенции.</w:t>
      </w:r>
    </w:p>
    <w:bookmarkEnd w:id="53"/>
    <w:bookmarkStart w:name="z60" w:id="54"/>
    <w:p>
      <w:pPr>
        <w:spacing w:after="0"/>
        <w:ind w:left="0"/>
        <w:jc w:val="both"/>
      </w:pPr>
      <w:r>
        <w:rPr>
          <w:rFonts w:ascii="Times New Roman"/>
          <w:b w:val="false"/>
          <w:i w:val="false"/>
          <w:color w:val="000000"/>
          <w:sz w:val="28"/>
        </w:rPr>
        <w:t xml:space="preserve">
      2. Представители или наблюдатели, упомянутые в подпунктах (c), (e), (f), (g) и (i) </w:t>
      </w:r>
      <w:r>
        <w:rPr>
          <w:rFonts w:ascii="Times New Roman"/>
          <w:b w:val="false"/>
          <w:i w:val="false"/>
          <w:color w:val="000000"/>
          <w:sz w:val="28"/>
        </w:rPr>
        <w:t>пункта 1</w:t>
      </w:r>
      <w:r>
        <w:rPr>
          <w:rFonts w:ascii="Times New Roman"/>
          <w:b w:val="false"/>
          <w:i w:val="false"/>
          <w:color w:val="000000"/>
          <w:sz w:val="28"/>
        </w:rPr>
        <w:t xml:space="preserve"> статьи II настоящего Соглашения, пользуются иммунитетом от юридического преследования за сказанные или написанные ими слова, любые действия, совершенные ими в связи с их участием в конференции.</w:t>
      </w:r>
    </w:p>
    <w:bookmarkEnd w:id="54"/>
    <w:bookmarkStart w:name="z61" w:id="55"/>
    <w:p>
      <w:pPr>
        <w:spacing w:after="0"/>
        <w:ind w:left="0"/>
        <w:jc w:val="both"/>
      </w:pPr>
      <w:r>
        <w:rPr>
          <w:rFonts w:ascii="Times New Roman"/>
          <w:b w:val="false"/>
          <w:i w:val="false"/>
          <w:color w:val="000000"/>
          <w:sz w:val="28"/>
        </w:rPr>
        <w:t>
      3. Правительство применяет к представителям специализированных и связанных с ними учреждений Организации Объединенных Наций, упомянутых в пункте 1 d) статьи II настоящего Соглашения, соответствующие положения Конвенции о привилегиях и иммунитетах специализированных учреждений или Соглашения о привилегиях и иммунитетах Международного агентства по атомной энергии по мере необходимости.</w:t>
      </w:r>
    </w:p>
    <w:bookmarkEnd w:id="55"/>
    <w:bookmarkStart w:name="z62" w:id="56"/>
    <w:p>
      <w:pPr>
        <w:spacing w:after="0"/>
        <w:ind w:left="0"/>
        <w:jc w:val="both"/>
      </w:pPr>
      <w:r>
        <w:rPr>
          <w:rFonts w:ascii="Times New Roman"/>
          <w:b w:val="false"/>
          <w:i w:val="false"/>
          <w:color w:val="000000"/>
          <w:sz w:val="28"/>
        </w:rPr>
        <w:t>
      4. Без ущерба для положений предыдущих пунктов настоящей статьи все лица, выполняющие функции по проведению конференции, включая всех приглашенных на конференцию, пользуются привилегиями, иммунитетами и льготами, необходимыми для независимого выполнения своих функций в связи с конференцией.</w:t>
      </w:r>
    </w:p>
    <w:bookmarkEnd w:id="56"/>
    <w:bookmarkStart w:name="z63" w:id="57"/>
    <w:p>
      <w:pPr>
        <w:spacing w:after="0"/>
        <w:ind w:left="0"/>
        <w:jc w:val="both"/>
      </w:pPr>
      <w:r>
        <w:rPr>
          <w:rFonts w:ascii="Times New Roman"/>
          <w:b w:val="false"/>
          <w:i w:val="false"/>
          <w:color w:val="000000"/>
          <w:sz w:val="28"/>
        </w:rPr>
        <w:t>
      5. Все лица, указанные в статье II настоящего Соглашения, имеют право на беспрепятственный въезд в (и) выезд из Казахстана, и не должно быть никаких препятствий для их транзита в территорию проведения конференции и обратно. Им должны быть предоставлены возможности для быстрого передвижения. Визы и разрешения на въезд при необходимости выдаются бесплатно, в кратчайшие сроки и не позднее, чем за две недели до даты открытия конференции, при условии, что заявление на получение визы подано не позднее, чем за три недели до открытия конференции; если заявление подано позднее, то виза выдается не позднее, чем через пять дней после получения заявления. Также должны быть приняты меры по обеспечению выдачи в Международном аэропорту имени Нурсултана Назарбаева виз на срок проведения конференции участникам, которые не смогли получить их до прибытия. Разрешения на выезд, если они требуются, выдаются бесплатно, в кратчайшие сроки и в любом случае не позднее, чем за пять дней до закрытия конференции.</w:t>
      </w:r>
    </w:p>
    <w:bookmarkEnd w:id="57"/>
    <w:bookmarkStart w:name="z64" w:id="58"/>
    <w:p>
      <w:pPr>
        <w:spacing w:after="0"/>
        <w:ind w:left="0"/>
        <w:jc w:val="both"/>
      </w:pPr>
      <w:r>
        <w:rPr>
          <w:rFonts w:ascii="Times New Roman"/>
          <w:b w:val="false"/>
          <w:i w:val="false"/>
          <w:color w:val="000000"/>
          <w:sz w:val="28"/>
        </w:rPr>
        <w:t>
      6. В соответствии с положениями Конвенции о привилегиях и иммунитетах Организации Объединенных Наций помещения конференции, указанные в пункте 1 статьи III настоящего Соглашения, считаются помещениями Организации Объединенных Наций по смыслу раздела 3 статьи II Конвенции, и доступ к ним осуществляется под руководством и контролем Организации Объединенных Наций. Помещения неприкосновенны на протяжении всего срока проведения конференции, включая подготовительные и заключительные этапы.</w:t>
      </w:r>
    </w:p>
    <w:bookmarkEnd w:id="58"/>
    <w:bookmarkStart w:name="z65" w:id="59"/>
    <w:p>
      <w:pPr>
        <w:spacing w:after="0"/>
        <w:ind w:left="0"/>
        <w:jc w:val="both"/>
      </w:pPr>
      <w:r>
        <w:rPr>
          <w:rFonts w:ascii="Times New Roman"/>
          <w:b w:val="false"/>
          <w:i w:val="false"/>
          <w:color w:val="000000"/>
          <w:sz w:val="28"/>
        </w:rPr>
        <w:t>
      7. Все лица, указанные в статье II настоящего Соглашения, имеют право вывезти из Казахстана в момент их отъезда без каких-либо ограничений любую неизрасходованную часть средств, которые они ввезли в Казахстан в связи с конференцией, и реконвертировать любые такие средства по преобладающему рыночному курсу.</w:t>
      </w:r>
    </w:p>
    <w:bookmarkEnd w:id="59"/>
    <w:bookmarkStart w:name="z66" w:id="60"/>
    <w:p>
      <w:pPr>
        <w:spacing w:after="0"/>
        <w:ind w:left="0"/>
        <w:jc w:val="both"/>
      </w:pPr>
      <w:r>
        <w:rPr>
          <w:rFonts w:ascii="Times New Roman"/>
          <w:b w:val="false"/>
          <w:i w:val="false"/>
          <w:color w:val="000000"/>
          <w:sz w:val="28"/>
        </w:rPr>
        <w:t>
      8. Правительство предоставит разрешение на временный ввоз с освобождением от таможенных пошлин и налогов на оборудование и материалы, предназначенные для использования на конференции, а также на техническое оборудование прессы, радио или телевидения, вспомогательные устройства и аксессуары для вышеупомянутого оборудования, необходимые во время конференции. Правительство должно немедленно выдать все необходимые разрешения на импорт и экспорт для этой цели.</w:t>
      </w:r>
    </w:p>
    <w:bookmarkEnd w:id="60"/>
    <w:bookmarkStart w:name="z67" w:id="61"/>
    <w:p>
      <w:pPr>
        <w:spacing w:after="0"/>
        <w:ind w:left="0"/>
        <w:jc w:val="left"/>
      </w:pPr>
      <w:r>
        <w:rPr>
          <w:rFonts w:ascii="Times New Roman"/>
          <w:b/>
          <w:i w:val="false"/>
          <w:color w:val="000000"/>
        </w:rPr>
        <w:t xml:space="preserve"> Статья XII</w:t>
      </w:r>
      <w:r>
        <w:br/>
      </w:r>
      <w:r>
        <w:rPr>
          <w:rFonts w:ascii="Times New Roman"/>
          <w:b/>
          <w:i w:val="false"/>
          <w:color w:val="000000"/>
        </w:rPr>
        <w:t>Урегулирование споров</w:t>
      </w:r>
    </w:p>
    <w:bookmarkEnd w:id="61"/>
    <w:bookmarkStart w:name="z68" w:id="62"/>
    <w:p>
      <w:pPr>
        <w:spacing w:after="0"/>
        <w:ind w:left="0"/>
        <w:jc w:val="both"/>
      </w:pPr>
      <w:r>
        <w:rPr>
          <w:rFonts w:ascii="Times New Roman"/>
          <w:b w:val="false"/>
          <w:i w:val="false"/>
          <w:color w:val="000000"/>
          <w:sz w:val="28"/>
        </w:rPr>
        <w:t>
      Любой спор между Правительством и Организацией Объединенных Наций относительно толкования или применения настоящего Соглашения, не урегулированный путем переговоров или иного согласованного способа урегулирования, передается по запросу любой из сторон для окончательного решения в арбитражный суд в составе трех арбитров: один арбитр назначается Генеральным секретарем Организации Объединенных Наций, второй - Правительством, а третий, который будет председательствовать, выбирается первыми двумя; если одна из Сторон не назначит арбитра в течение 60 дней после его назначения другой стороной или если два арбитра не договорятся о третьем арбитре в течение 60 дней с момента их назначения, Председатель Международного суда может произвести любые необходимые назначения по запросу любой из сторон. Однако любой спор, который касается вопроса, регулируемого Конвенцией о привилегиях и иммунитетах Организации Объединенных Наций, будет рассматриваться в соответствии с разделом 30 Конвенции.</w:t>
      </w:r>
    </w:p>
    <w:bookmarkEnd w:id="62"/>
    <w:bookmarkStart w:name="z69" w:id="63"/>
    <w:p>
      <w:pPr>
        <w:spacing w:after="0"/>
        <w:ind w:left="0"/>
        <w:jc w:val="left"/>
      </w:pPr>
      <w:r>
        <w:rPr>
          <w:rFonts w:ascii="Times New Roman"/>
          <w:b/>
          <w:i w:val="false"/>
          <w:color w:val="000000"/>
        </w:rPr>
        <w:t xml:space="preserve"> Статья XIII</w:t>
      </w:r>
      <w:r>
        <w:br/>
      </w:r>
      <w:r>
        <w:rPr>
          <w:rFonts w:ascii="Times New Roman"/>
          <w:b/>
          <w:i w:val="false"/>
          <w:color w:val="000000"/>
        </w:rPr>
        <w:t>Заключительные положения</w:t>
      </w:r>
    </w:p>
    <w:bookmarkEnd w:id="63"/>
    <w:bookmarkStart w:name="z70" w:id="64"/>
    <w:p>
      <w:pPr>
        <w:spacing w:after="0"/>
        <w:ind w:left="0"/>
        <w:jc w:val="both"/>
      </w:pPr>
      <w:r>
        <w:rPr>
          <w:rFonts w:ascii="Times New Roman"/>
          <w:b w:val="false"/>
          <w:i w:val="false"/>
          <w:color w:val="000000"/>
          <w:sz w:val="28"/>
        </w:rPr>
        <w:t>
      1. Настоящее Соглашение может быть изменено по письменному соглашению между Правительством и Организацией Объединенных Наций.</w:t>
      </w:r>
    </w:p>
    <w:bookmarkEnd w:id="64"/>
    <w:bookmarkStart w:name="z71" w:id="65"/>
    <w:p>
      <w:pPr>
        <w:spacing w:after="0"/>
        <w:ind w:left="0"/>
        <w:jc w:val="both"/>
      </w:pPr>
      <w:r>
        <w:rPr>
          <w:rFonts w:ascii="Times New Roman"/>
          <w:b w:val="false"/>
          <w:i w:val="false"/>
          <w:color w:val="000000"/>
          <w:sz w:val="28"/>
        </w:rPr>
        <w:t>
      2. Настоящее Соглашение, включая его приложение, вступает в силу с даты получения Организацией Объединенных Наций по дипломатическим каналам письменного уведомления Правительства о завершении необходимых внутригосударственных процедур для его вступления в силу и остается в силе на время проведения конференции и на такой период после нее, который необходим для урегулирования всех вопросов, касающихся любого из его положений.</w:t>
      </w:r>
    </w:p>
    <w:bookmarkEnd w:id="65"/>
    <w:bookmarkStart w:name="z72" w:id="66"/>
    <w:p>
      <w:pPr>
        <w:spacing w:after="0"/>
        <w:ind w:left="0"/>
        <w:jc w:val="both"/>
      </w:pPr>
      <w:r>
        <w:rPr>
          <w:rFonts w:ascii="Times New Roman"/>
          <w:b w:val="false"/>
          <w:i w:val="false"/>
          <w:color w:val="000000"/>
          <w:sz w:val="28"/>
        </w:rPr>
        <w:t>
      Подписано в городе Бангкоке "22" апреля 2024 года в двух подлинных экземплярах на английском языке.</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Организацию</w:t>
            </w:r>
          </w:p>
          <w:p>
            <w:pPr>
              <w:spacing w:after="20"/>
              <w:ind w:left="20"/>
              <w:jc w:val="both"/>
            </w:pPr>
          </w:p>
          <w:p>
            <w:pPr>
              <w:spacing w:after="20"/>
              <w:ind w:left="20"/>
              <w:jc w:val="both"/>
            </w:pPr>
            <w:r>
              <w:rPr>
                <w:rFonts w:ascii="Times New Roman"/>
                <w:b/>
                <w:i w:val="false"/>
                <w:color w:val="000000"/>
                <w:sz w:val="20"/>
              </w:rPr>
              <w:t>Объединенных Наций: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 </w:t>
            </w:r>
            <w:r>
              <w:br/>
            </w:r>
            <w:r>
              <w:rPr>
                <w:rFonts w:ascii="Times New Roman"/>
                <w:b w:val="false"/>
                <w:i w:val="false"/>
                <w:color w:val="000000"/>
                <w:sz w:val="20"/>
              </w:rPr>
              <w:t>к Соглашению</w:t>
            </w:r>
            <w:r>
              <w:rPr>
                <w:rFonts w:ascii="Times New Roman"/>
                <w:b w:val="false"/>
                <w:i w:val="false"/>
                <w:color w:val="000000"/>
                <w:sz w:val="20"/>
              </w:rPr>
              <w:t xml:space="preserve"> между</w:t>
            </w:r>
            <w:r>
              <w:br/>
            </w:r>
            <w:r>
              <w:rPr>
                <w:rFonts w:ascii="Times New Roman"/>
                <w:b w:val="false"/>
                <w:i w:val="false"/>
                <w:color w:val="000000"/>
                <w:sz w:val="20"/>
              </w:rPr>
              <w:t>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Организацией Объединенных</w:t>
            </w:r>
            <w:r>
              <w:br/>
            </w:r>
            <w:r>
              <w:rPr>
                <w:rFonts w:ascii="Times New Roman"/>
                <w:b w:val="false"/>
                <w:i w:val="false"/>
                <w:color w:val="000000"/>
                <w:sz w:val="20"/>
              </w:rPr>
              <w:t>Наций об организации</w:t>
            </w:r>
            <w:r>
              <w:br/>
            </w:r>
            <w:r>
              <w:rPr>
                <w:rFonts w:ascii="Times New Roman"/>
                <w:b w:val="false"/>
                <w:i w:val="false"/>
                <w:color w:val="000000"/>
                <w:sz w:val="20"/>
              </w:rPr>
              <w:t>Азиатско-Тихоокеанской</w:t>
            </w:r>
            <w:r>
              <w:br/>
            </w:r>
            <w:r>
              <w:rPr>
                <w:rFonts w:ascii="Times New Roman"/>
                <w:b w:val="false"/>
                <w:i w:val="false"/>
                <w:color w:val="000000"/>
                <w:sz w:val="20"/>
              </w:rPr>
              <w:t>министерской конференции по</w:t>
            </w:r>
            <w:r>
              <w:br/>
            </w:r>
            <w:r>
              <w:rPr>
                <w:rFonts w:ascii="Times New Roman"/>
                <w:b w:val="false"/>
                <w:i w:val="false"/>
                <w:color w:val="000000"/>
                <w:sz w:val="20"/>
              </w:rPr>
              <w:t>цифровой инклюзии и</w:t>
            </w:r>
            <w:r>
              <w:br/>
            </w:r>
            <w:r>
              <w:rPr>
                <w:rFonts w:ascii="Times New Roman"/>
                <w:b w:val="false"/>
                <w:i w:val="false"/>
                <w:color w:val="000000"/>
                <w:sz w:val="20"/>
              </w:rPr>
              <w:t>трансформации</w:t>
            </w:r>
          </w:p>
        </w:tc>
      </w:tr>
    </w:tbl>
    <w:bookmarkStart w:name="z82" w:id="67"/>
    <w:p>
      <w:pPr>
        <w:spacing w:after="0"/>
        <w:ind w:left="0"/>
        <w:jc w:val="left"/>
      </w:pPr>
      <w:r>
        <w:rPr>
          <w:rFonts w:ascii="Times New Roman"/>
          <w:b/>
          <w:i w:val="false"/>
          <w:color w:val="000000"/>
        </w:rPr>
        <w:t xml:space="preserve"> Средства принимающей страны</w:t>
      </w:r>
    </w:p>
    <w:bookmarkEnd w:id="67"/>
    <w:bookmarkStart w:name="z83" w:id="68"/>
    <w:p>
      <w:pPr>
        <w:spacing w:after="0"/>
        <w:ind w:left="0"/>
        <w:jc w:val="both"/>
      </w:pPr>
      <w:r>
        <w:rPr>
          <w:rFonts w:ascii="Times New Roman"/>
          <w:b w:val="false"/>
          <w:i w:val="false"/>
          <w:color w:val="000000"/>
          <w:sz w:val="28"/>
        </w:rPr>
        <w:t>
      1. Азиатско-Тихоокеанскую министерскую конференцию по цифровой инклюзии и трансформации (далее - конференция) планируется провести в Астане, Республика Казахстан, с 3 по 5 сентября 2024 года. Другие мероприятия обычно организуются в кулуарах сессии.</w:t>
      </w:r>
    </w:p>
    <w:bookmarkEnd w:id="68"/>
    <w:bookmarkStart w:name="z84" w:id="69"/>
    <w:p>
      <w:pPr>
        <w:spacing w:after="0"/>
        <w:ind w:left="0"/>
        <w:jc w:val="both"/>
      </w:pPr>
      <w:r>
        <w:rPr>
          <w:rFonts w:ascii="Times New Roman"/>
          <w:b w:val="false"/>
          <w:i w:val="false"/>
          <w:color w:val="000000"/>
          <w:sz w:val="28"/>
        </w:rPr>
        <w:t>
      2. Ожидается, что все государства-члены будут лично присутствовать на сессии. Если отдельные государства-члены не смогут лично присутствовать на сессии, может возникнуть необходимость в организации сессии в виде гибридного заседания с участием через виртуальную платформу и удаленным синхронным переводом.</w:t>
      </w:r>
    </w:p>
    <w:bookmarkEnd w:id="69"/>
    <w:bookmarkStart w:name="z85" w:id="70"/>
    <w:p>
      <w:pPr>
        <w:spacing w:after="0"/>
        <w:ind w:left="0"/>
        <w:jc w:val="both"/>
      </w:pPr>
      <w:r>
        <w:rPr>
          <w:rFonts w:ascii="Times New Roman"/>
          <w:b w:val="false"/>
          <w:i w:val="false"/>
          <w:color w:val="000000"/>
          <w:sz w:val="28"/>
        </w:rPr>
        <w:t>
      3. Все встречи и мероприятия должны быть устойчивыми и доступными, организованы таким образом, чтобы минимизировать воздействие на окружающую среду и быть углеродно нейтральными. Все объекты и услуги, включая физическое окружение места проведения мероприятия, должны быть доступны для людей с ограниченными возможностями, обеспечены сурдопереводчиками и субтитрами в режиме реального времени, а официальные документы должны распространяться в доступном формате для лиц с ограниченными возможностями</w:t>
      </w:r>
    </w:p>
    <w:bookmarkEnd w:id="70"/>
    <w:bookmarkStart w:name="z86" w:id="71"/>
    <w:p>
      <w:pPr>
        <w:spacing w:after="0"/>
        <w:ind w:left="0"/>
        <w:jc w:val="both"/>
      </w:pPr>
      <w:r>
        <w:rPr>
          <w:rFonts w:ascii="Times New Roman"/>
          <w:b w:val="false"/>
          <w:i w:val="false"/>
          <w:color w:val="000000"/>
          <w:sz w:val="28"/>
        </w:rPr>
        <w:t>
      4. Принимающая страна должна предоставить необходимые помещения, включая конференц-залы для проведения неофициальных заседаний, конференционные служебные помещения, рабочие зоны и другие соответствующие помещения. Принимающая страна должна оборудовать, оснастить, установить и поддерживать в исправном состоянии все эти помещения для эффективного проведения сессии, а также обеспечить, чтобы помещения и оборудование были обустроены в соответствии со спецификациями и готовы к проведению сессии в соответствии с программой. Это включает в себя настройку и эксплуатацию аудиовизуального оборудования, а также проведение необходимых проверок перед началом сессии, чтобы убедиться в том, что все функционирует должным образом.</w:t>
      </w:r>
    </w:p>
    <w:bookmarkEnd w:id="71"/>
    <w:bookmarkStart w:name="z87" w:id="72"/>
    <w:p>
      <w:pPr>
        <w:spacing w:after="0"/>
        <w:ind w:left="0"/>
        <w:jc w:val="both"/>
      </w:pPr>
      <w:r>
        <w:rPr>
          <w:rFonts w:ascii="Times New Roman"/>
          <w:b w:val="false"/>
          <w:i w:val="false"/>
          <w:color w:val="000000"/>
          <w:sz w:val="28"/>
        </w:rPr>
        <w:t>
      5. Данный перечень не является исчерпывающим, и в зависимости от местных условий могут потребоваться дополнительные средства и услуги.</w:t>
      </w:r>
    </w:p>
    <w:bookmarkEnd w:id="72"/>
    <w:bookmarkStart w:name="z88" w:id="73"/>
    <w:p>
      <w:pPr>
        <w:spacing w:after="0"/>
        <w:ind w:left="0"/>
        <w:jc w:val="left"/>
      </w:pPr>
      <w:r>
        <w:rPr>
          <w:rFonts w:ascii="Times New Roman"/>
          <w:b/>
          <w:i w:val="false"/>
          <w:color w:val="000000"/>
        </w:rPr>
        <w:t xml:space="preserve"> I. Конференц-залы и сопутствующие помещения</w:t>
      </w:r>
    </w:p>
    <w:bookmarkEnd w:id="73"/>
    <w:bookmarkStart w:name="z89" w:id="74"/>
    <w:p>
      <w:pPr>
        <w:spacing w:after="0"/>
        <w:ind w:left="0"/>
        <w:jc w:val="left"/>
      </w:pPr>
      <w:r>
        <w:rPr>
          <w:rFonts w:ascii="Times New Roman"/>
          <w:b/>
          <w:i w:val="false"/>
          <w:color w:val="000000"/>
        </w:rPr>
        <w:t xml:space="preserve"> I-1. Зал пленарных заседаний</w:t>
      </w:r>
    </w:p>
    <w:bookmarkEnd w:id="74"/>
    <w:bookmarkStart w:name="z90" w:id="75"/>
    <w:p>
      <w:pPr>
        <w:spacing w:after="0"/>
        <w:ind w:left="0"/>
        <w:jc w:val="both"/>
      </w:pPr>
      <w:r>
        <w:rPr>
          <w:rFonts w:ascii="Times New Roman"/>
          <w:b w:val="false"/>
          <w:i w:val="false"/>
          <w:color w:val="000000"/>
          <w:sz w:val="28"/>
        </w:rPr>
        <w:t>
      6. В качестве зала пленарных заседаний будет использоваться один конференц-зал, рассчитанный на 200 участников. Необходимо установить девять микрофонов на трибуне и 100 микрофонов по одному на каждую делегацию.</w:t>
      </w:r>
      <w:r>
        <w:rPr>
          <w:rFonts w:ascii="Times New Roman"/>
          <w:b w:val="false"/>
          <w:i w:val="false"/>
          <w:color w:val="000000"/>
          <w:vertAlign w:val="superscript"/>
        </w:rPr>
        <w:t>1</w:t>
      </w:r>
      <w:r>
        <w:rPr>
          <w:rFonts w:ascii="Times New Roman"/>
          <w:b w:val="false"/>
          <w:i w:val="false"/>
          <w:color w:val="000000"/>
          <w:sz w:val="28"/>
        </w:rPr>
        <w:t xml:space="preserve"> Все микрофоны делегатов должны быть настольными и иметь световые индикаторы включения и выключения. Всем сидящим участникам будут предоставлены 200 наушников с беспроводными приемниками для многоканального выбора. Кроме того, для выступающих необходим стоячий подиум с микрофоном и подсветкой, установленный рядом с трибуной.</w:t>
      </w:r>
    </w:p>
    <w:bookmarkEnd w:id="75"/>
    <w:bookmarkStart w:name="z91"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Зал пленарных заседаний должен быть полностью оборудован микрофоном и системой синхронного перевода (ССП) по стандарту ISO с наушниками и приемниками для обеспечения не менее 5 каналов перевода, т.е. языка выступления, английского, французского, китайского и русского. В зале пленарных заседаний должны быть оборудованы четыре кабины для устного перевода, каждая из которых достаточно просторна для размещения двух переводчиков, сидящих рядом друг с другом, за исключением кабины для китайского языка, в которой должны размещаться три переводчика, сидящие рядом друг с другом. Если используются мобильные кабины для синхронного перевода, они должны соответствовать стандарту ISO4043 - Мобильные кабины для синхронного перевода. Поскольку некоторым высокопоставленным представителям, в том числе из принимающей страны, может потребоваться устный перевод, рекомендуется установить еще одну кабину синхронного перевода. В этом случае потребуется соответствующее увеличение каналов выбора языка.</w:t>
      </w:r>
    </w:p>
    <w:bookmarkEnd w:id="76"/>
    <w:bookmarkStart w:name="z94" w:id="77"/>
    <w:p>
      <w:pPr>
        <w:spacing w:after="0"/>
        <w:ind w:left="0"/>
        <w:jc w:val="both"/>
      </w:pPr>
      <w:r>
        <w:rPr>
          <w:rFonts w:ascii="Times New Roman"/>
          <w:b w:val="false"/>
          <w:i w:val="false"/>
          <w:color w:val="000000"/>
          <w:sz w:val="28"/>
        </w:rPr>
        <w:t>
      8. В кабинах устного перевода должны быть установлены микрофоны, а пульты устного переводчика должны позволять ему переключаться между входящими и исходящими языками. Каждый пульт устного перевода должен иметь два языковых канала - А и В. Канал А обычно используется для выходных языков, непосредственно переводимых с языка выступления, а канал В - для выходного языка релейного перевода. Переводчики должны иметь возможность свободного выбора номера канала выходного языка на канале B. На консолях переводчиков должны быть доступны настройки микрофонной блокировки между кабинами.</w:t>
      </w:r>
    </w:p>
    <w:bookmarkEnd w:id="77"/>
    <w:bookmarkStart w:name="z95" w:id="78"/>
    <w:p>
      <w:pPr>
        <w:spacing w:after="0"/>
        <w:ind w:left="0"/>
        <w:jc w:val="both"/>
      </w:pPr>
      <w:r>
        <w:rPr>
          <w:rFonts w:ascii="Times New Roman"/>
          <w:b w:val="false"/>
          <w:i w:val="false"/>
          <w:color w:val="000000"/>
          <w:sz w:val="28"/>
        </w:rPr>
        <w:t>
      9. Конференц-зал должен быть оборудован следующими предметами для поддержки платформы Zoom в случае необходимости:</w:t>
      </w:r>
    </w:p>
    <w:bookmarkEnd w:id="78"/>
    <w:bookmarkStart w:name="z96" w:id="79"/>
    <w:p>
      <w:pPr>
        <w:spacing w:after="0"/>
        <w:ind w:left="0"/>
        <w:jc w:val="both"/>
      </w:pPr>
      <w:r>
        <w:rPr>
          <w:rFonts w:ascii="Times New Roman"/>
          <w:b w:val="false"/>
          <w:i w:val="false"/>
          <w:color w:val="000000"/>
          <w:sz w:val="28"/>
        </w:rPr>
        <w:t xml:space="preserve">
      </w:t>
      </w:r>
      <w:r>
        <w:rPr>
          <w:rFonts w:ascii="Times New Roman"/>
          <w:b/>
          <w:i w:val="false"/>
          <w:color w:val="000000"/>
          <w:sz w:val="28"/>
        </w:rPr>
        <w:t>Запись места проведения</w:t>
      </w:r>
    </w:p>
    <w:bookmarkEnd w:id="79"/>
    <w:bookmarkStart w:name="z97" w:id="80"/>
    <w:p>
      <w:pPr>
        <w:spacing w:after="0"/>
        <w:ind w:left="0"/>
        <w:jc w:val="both"/>
      </w:pPr>
      <w:r>
        <w:rPr>
          <w:rFonts w:ascii="Times New Roman"/>
          <w:b w:val="false"/>
          <w:i w:val="false"/>
          <w:color w:val="000000"/>
          <w:sz w:val="28"/>
        </w:rPr>
        <w:t>
      ноутбук;</w:t>
      </w:r>
    </w:p>
    <w:bookmarkEnd w:id="80"/>
    <w:bookmarkStart w:name="z98" w:id="81"/>
    <w:p>
      <w:pPr>
        <w:spacing w:after="0"/>
        <w:ind w:left="0"/>
        <w:jc w:val="both"/>
      </w:pPr>
      <w:r>
        <w:rPr>
          <w:rFonts w:ascii="Times New Roman"/>
          <w:b w:val="false"/>
          <w:i w:val="false"/>
          <w:color w:val="000000"/>
          <w:sz w:val="28"/>
        </w:rPr>
        <w:t>
      аудио USB интерфейс;</w:t>
      </w:r>
    </w:p>
    <w:bookmarkEnd w:id="81"/>
    <w:bookmarkStart w:name="z99" w:id="82"/>
    <w:p>
      <w:pPr>
        <w:spacing w:after="0"/>
        <w:ind w:left="0"/>
        <w:jc w:val="both"/>
      </w:pPr>
      <w:r>
        <w:rPr>
          <w:rFonts w:ascii="Times New Roman"/>
          <w:b w:val="false"/>
          <w:i w:val="false"/>
          <w:color w:val="000000"/>
          <w:sz w:val="28"/>
        </w:rPr>
        <w:t>
      подключение к локальной сети для записи места проведения.</w:t>
      </w:r>
    </w:p>
    <w:bookmarkEnd w:id="82"/>
    <w:bookmarkStart w:name="z100" w:id="83"/>
    <w:p>
      <w:pPr>
        <w:spacing w:after="0"/>
        <w:ind w:left="0"/>
        <w:jc w:val="both"/>
      </w:pPr>
      <w:r>
        <w:rPr>
          <w:rFonts w:ascii="Times New Roman"/>
          <w:b w:val="false"/>
          <w:i w:val="false"/>
          <w:color w:val="000000"/>
          <w:sz w:val="28"/>
        </w:rPr>
        <w:t xml:space="preserve">
      </w:t>
      </w:r>
      <w:r>
        <w:rPr>
          <w:rFonts w:ascii="Times New Roman"/>
          <w:b/>
          <w:i w:val="false"/>
          <w:color w:val="000000"/>
          <w:sz w:val="28"/>
        </w:rPr>
        <w:t>Мобильные кабины для синхронного перевода на объекте</w:t>
      </w:r>
    </w:p>
    <w:bookmarkEnd w:id="83"/>
    <w:bookmarkStart w:name="z101" w:id="84"/>
    <w:p>
      <w:pPr>
        <w:spacing w:after="0"/>
        <w:ind w:left="0"/>
        <w:jc w:val="both"/>
      </w:pPr>
      <w:r>
        <w:rPr>
          <w:rFonts w:ascii="Times New Roman"/>
          <w:b w:val="false"/>
          <w:i w:val="false"/>
          <w:color w:val="000000"/>
          <w:sz w:val="28"/>
        </w:rPr>
        <w:t>
      ноутбуки;</w:t>
      </w:r>
    </w:p>
    <w:bookmarkEnd w:id="84"/>
    <w:bookmarkStart w:name="z102" w:id="85"/>
    <w:p>
      <w:pPr>
        <w:spacing w:after="0"/>
        <w:ind w:left="0"/>
        <w:jc w:val="both"/>
      </w:pPr>
      <w:r>
        <w:rPr>
          <w:rFonts w:ascii="Times New Roman"/>
          <w:b w:val="false"/>
          <w:i w:val="false"/>
          <w:color w:val="000000"/>
          <w:sz w:val="28"/>
        </w:rPr>
        <w:t>
      аудио USB-интерфейс;</w:t>
      </w:r>
    </w:p>
    <w:bookmarkEnd w:id="85"/>
    <w:bookmarkStart w:name="z103" w:id="86"/>
    <w:p>
      <w:pPr>
        <w:spacing w:after="0"/>
        <w:ind w:left="0"/>
        <w:jc w:val="both"/>
      </w:pPr>
      <w:r>
        <w:rPr>
          <w:rFonts w:ascii="Times New Roman"/>
          <w:b w:val="false"/>
          <w:i w:val="false"/>
          <w:color w:val="000000"/>
          <w:sz w:val="28"/>
        </w:rPr>
        <w:t>
      локальная сеть для ноутбуков, подключаемых в качестве Zoom-соединения.</w:t>
      </w:r>
    </w:p>
    <w:bookmarkEnd w:id="86"/>
    <w:bookmarkStart w:name="z104" w:id="87"/>
    <w:p>
      <w:pPr>
        <w:spacing w:after="0"/>
        <w:ind w:left="0"/>
        <w:jc w:val="both"/>
      </w:pPr>
      <w:r>
        <w:rPr>
          <w:rFonts w:ascii="Times New Roman"/>
          <w:b w:val="false"/>
          <w:i w:val="false"/>
          <w:color w:val="000000"/>
          <w:sz w:val="28"/>
        </w:rPr>
        <w:t>
      10. Требуется аудиовизуальный персонал для проведения презентаций, воспроизведения видео, коммутации видео, управления звуком, аудиозаписи, видеозаписи, управления виртуальным совещанием и управления освещением на пленарном заседании.</w:t>
      </w:r>
    </w:p>
    <w:bookmarkEnd w:id="87"/>
    <w:bookmarkStart w:name="z105" w:id="88"/>
    <w:p>
      <w:pPr>
        <w:spacing w:after="0"/>
        <w:ind w:left="0"/>
        <w:jc w:val="both"/>
      </w:pPr>
      <w:r>
        <w:rPr>
          <w:rFonts w:ascii="Times New Roman"/>
          <w:b w:val="false"/>
          <w:i w:val="false"/>
          <w:color w:val="000000"/>
          <w:sz w:val="28"/>
        </w:rPr>
        <w:t>
      11. В зале пленарных заседаний, где могут потребоваться визуальные презентации и, возможно, редактирование текста, должны быть установлены светодиодные видеостены (или LCD проекторы и проекционные экраны), ноутбуки, оснащенные операционной системой и MS office на английском языке, каждый из которых имеет беспроводную мышь. Зал заседаний должен быть полностью оборудован видео коммутатором(ами) и камерами, а также средствами аудиозаписи для языка выступления и английского каналов. Необходима система видеонаблюдения, включающая 4 камеры с операторами и пультом управления, которые будут снимать происходящее с трибуны и выступающих, постоянно следя за происходящим в зале. Запись в формате MP3 или WAV должна ежедневно предоставляться в секретариат конференции по окончанию каждого заседания. Для председателя, исполнительного секретаря, секретаря Комиссии и других выступающих необходимо предусмотреть не менее двух LED-мониторов на трибуне и одного LED-монитора на стоячей трибуне, чтобы они могли следить за ходом работы.</w:t>
      </w:r>
    </w:p>
    <w:bookmarkEnd w:id="88"/>
    <w:bookmarkStart w:name="z106" w:id="89"/>
    <w:p>
      <w:pPr>
        <w:spacing w:after="0"/>
        <w:ind w:left="0"/>
        <w:jc w:val="both"/>
      </w:pPr>
      <w:r>
        <w:rPr>
          <w:rFonts w:ascii="Times New Roman"/>
          <w:b w:val="false"/>
          <w:i w:val="false"/>
          <w:color w:val="000000"/>
          <w:sz w:val="28"/>
        </w:rPr>
        <w:t>
      12. Этот конференц-зал должен быть доступен для секретариата конференции при проведении монтажных работ и подведении итогов за два дня до начала конференции и до ее окончания.</w:t>
      </w:r>
    </w:p>
    <w:bookmarkEnd w:id="89"/>
    <w:bookmarkStart w:name="z107" w:id="90"/>
    <w:p>
      <w:pPr>
        <w:spacing w:after="0"/>
        <w:ind w:left="0"/>
        <w:jc w:val="both"/>
      </w:pPr>
      <w:r>
        <w:rPr>
          <w:rFonts w:ascii="Times New Roman"/>
          <w:b w:val="false"/>
          <w:i w:val="false"/>
          <w:color w:val="000000"/>
          <w:sz w:val="28"/>
        </w:rPr>
        <w:t>
      13. В таблице ниже приведены минимальные требования к залу пленарных заседаний. Требования к другим помещениям должны соответствовать деталям, указанным в соответствующих параграфах.</w:t>
      </w:r>
    </w:p>
    <w:bookmarkEnd w:id="90"/>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Каждая делегация, как правило, имеет два места делегата и два места наблюдателя.</w:t>
      </w:r>
    </w:p>
    <w:bookmarkStart w:name="z108" w:id="9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A. Требования к залу пленарных заседаний</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 для пленарного заседания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 CMSI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Настольные микрофоны для главных столов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для делегатов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делегатов с беспроводными приемниками для многоканального выбора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переводчика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+ 1 </w:t>
            </w:r>
          </w:p>
          <w:p>
            <w:pPr>
              <w:spacing w:after="20"/>
              <w:ind w:left="20"/>
              <w:jc w:val="both"/>
            </w:pPr>
            <w:r>
              <w:rPr>
                <w:rFonts w:ascii="Times New Roman"/>
                <w:b w:val="false"/>
                <w:i w:val="false"/>
                <w:color w:val="000000"/>
                <w:sz w:val="20"/>
              </w:rPr>
              <w:t>свободный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переводчика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+ 2 </w:t>
            </w:r>
          </w:p>
          <w:p>
            <w:pPr>
              <w:spacing w:after="20"/>
              <w:ind w:left="20"/>
              <w:jc w:val="both"/>
            </w:pPr>
            <w:r>
              <w:rPr>
                <w:rFonts w:ascii="Times New Roman"/>
                <w:b w:val="false"/>
                <w:i w:val="false"/>
                <w:color w:val="000000"/>
                <w:sz w:val="20"/>
              </w:rPr>
              <w:t>свободных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управления CMSI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 дежурный 1 резерв)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CMSI аксессуары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аудиовыхода (язык выступления+5)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Пассивные аудио разветвители линейного уровня (1x4)</w:t>
            </w:r>
          </w:p>
          <w:bookmarkEnd w:id="92"/>
          <w:p>
            <w:pPr>
              <w:spacing w:after="20"/>
              <w:ind w:left="20"/>
              <w:jc w:val="both"/>
            </w:pPr>
            <w:r>
              <w:rPr>
                <w:rFonts w:ascii="Times New Roman"/>
                <w:b w:val="false"/>
                <w:i w:val="false"/>
                <w:color w:val="000000"/>
                <w:sz w:val="20"/>
              </w:rPr>
              <w:t>
- 1 входа x 4 выхода</w:t>
            </w:r>
          </w:p>
          <w:p>
            <w:pPr>
              <w:spacing w:after="20"/>
              <w:ind w:left="20"/>
              <w:jc w:val="both"/>
            </w:pPr>
            <w:r>
              <w:rPr>
                <w:rFonts w:ascii="Times New Roman"/>
                <w:b w:val="false"/>
                <w:i w:val="false"/>
                <w:color w:val="000000"/>
                <w:sz w:val="20"/>
              </w:rPr>
              <w:t>
- Балансный вход и выход линейного уровня</w:t>
            </w:r>
          </w:p>
          <w:p>
            <w:pPr>
              <w:spacing w:after="20"/>
              <w:ind w:left="20"/>
              <w:jc w:val="both"/>
            </w:pPr>
            <w:r>
              <w:rPr>
                <w:rFonts w:ascii="Times New Roman"/>
                <w:b w:val="false"/>
                <w:i w:val="false"/>
                <w:color w:val="000000"/>
                <w:sz w:val="20"/>
              </w:rPr>
              <w:t>
- Расширяемое помехоустойчивое 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 свободный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Презентационное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Светодиодная видео стена (или ЖК-проектор и проекционный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 камеры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Ноутбуки со следующими минимальными характеристиками:</w:t>
            </w:r>
          </w:p>
          <w:p>
            <w:pPr>
              <w:spacing w:after="20"/>
              <w:ind w:left="20"/>
              <w:jc w:val="both"/>
            </w:pPr>
            <w:r>
              <w:rPr>
                <w:rFonts w:ascii="Times New Roman"/>
                <w:b w:val="false"/>
                <w:i w:val="false"/>
                <w:color w:val="000000"/>
                <w:sz w:val="20"/>
              </w:rPr>
              <w:t>
- Windows 10 (система на английском языке)</w:t>
            </w:r>
          </w:p>
          <w:p>
            <w:pPr>
              <w:spacing w:after="20"/>
              <w:ind w:left="20"/>
              <w:jc w:val="both"/>
            </w:pPr>
            <w:r>
              <w:rPr>
                <w:rFonts w:ascii="Times New Roman"/>
                <w:b w:val="false"/>
                <w:i w:val="false"/>
                <w:color w:val="000000"/>
                <w:sz w:val="20"/>
              </w:rPr>
              <w:t>
- Твердотельный накопитель 250 гб</w:t>
            </w:r>
          </w:p>
          <w:p>
            <w:pPr>
              <w:spacing w:after="20"/>
              <w:ind w:left="20"/>
              <w:jc w:val="both"/>
            </w:pPr>
            <w:r>
              <w:rPr>
                <w:rFonts w:ascii="Times New Roman"/>
                <w:b w:val="false"/>
                <w:i w:val="false"/>
                <w:color w:val="000000"/>
                <w:sz w:val="20"/>
              </w:rPr>
              <w:t>
- Память 8ГБ</w:t>
            </w:r>
          </w:p>
          <w:p>
            <w:pPr>
              <w:spacing w:after="20"/>
              <w:ind w:left="20"/>
              <w:jc w:val="both"/>
            </w:pPr>
            <w:r>
              <w:rPr>
                <w:rFonts w:ascii="Times New Roman"/>
                <w:b w:val="false"/>
                <w:i w:val="false"/>
                <w:color w:val="000000"/>
                <w:sz w:val="20"/>
              </w:rPr>
              <w:t>
- MS Office</w:t>
            </w:r>
          </w:p>
          <w:p>
            <w:pPr>
              <w:spacing w:after="20"/>
              <w:ind w:left="20"/>
              <w:jc w:val="both"/>
            </w:pPr>
            <w:r>
              <w:rPr>
                <w:rFonts w:ascii="Times New Roman"/>
                <w:b w:val="false"/>
                <w:i w:val="false"/>
                <w:color w:val="000000"/>
                <w:sz w:val="20"/>
              </w:rPr>
              <w:t>
- Центральный процессор і7</w:t>
            </w:r>
          </w:p>
          <w:p>
            <w:pPr>
              <w:spacing w:after="20"/>
              <w:ind w:left="20"/>
              <w:jc w:val="both"/>
            </w:pPr>
            <w:r>
              <w:rPr>
                <w:rFonts w:ascii="Times New Roman"/>
                <w:b w:val="false"/>
                <w:i w:val="false"/>
                <w:color w:val="000000"/>
                <w:sz w:val="20"/>
              </w:rPr>
              <w:t>
- Последняя версия Zoom</w:t>
            </w:r>
          </w:p>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42" дисплей на трибуне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42" дисплей на трибуне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21" для технического специалиста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таймер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Бесшовный матричный коммутатор HDMI (8x8)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Коммутатор потокового видео</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Семь общих выходов для потоковой передачи данных SDI, HDMI и USB-C</w:t>
            </w:r>
          </w:p>
          <w:p>
            <w:pPr>
              <w:spacing w:after="20"/>
              <w:ind w:left="20"/>
              <w:jc w:val="both"/>
            </w:pPr>
            <w:r>
              <w:rPr>
                <w:rFonts w:ascii="Times New Roman"/>
                <w:b w:val="false"/>
                <w:i w:val="false"/>
                <w:color w:val="000000"/>
                <w:sz w:val="20"/>
              </w:rPr>
              <w:t>
</w:t>
            </w:r>
            <w:r>
              <w:rPr>
                <w:rFonts w:ascii="Times New Roman"/>
                <w:b w:val="false"/>
                <w:i w:val="false"/>
                <w:color w:val="000000"/>
                <w:sz w:val="20"/>
              </w:rPr>
              <w:t>- Выбираемые режимы вывода: Программа, Подпрограмма, Aux, Предварительный просмотр и мультипросмотр</w:t>
            </w:r>
          </w:p>
          <w:p>
            <w:pPr>
              <w:spacing w:after="20"/>
              <w:ind w:left="20"/>
              <w:jc w:val="both"/>
            </w:pPr>
            <w:r>
              <w:rPr>
                <w:rFonts w:ascii="Times New Roman"/>
                <w:b w:val="false"/>
                <w:i w:val="false"/>
                <w:color w:val="000000"/>
                <w:sz w:val="20"/>
              </w:rPr>
              <w:t>
</w:t>
            </w:r>
            <w:r>
              <w:rPr>
                <w:rFonts w:ascii="Times New Roman"/>
                <w:b w:val="false"/>
                <w:i w:val="false"/>
                <w:color w:val="000000"/>
                <w:sz w:val="20"/>
              </w:rPr>
              <w:t>- Восемь входов 3G SDI и HDMI</w:t>
            </w:r>
          </w:p>
          <w:p>
            <w:pPr>
              <w:spacing w:after="20"/>
              <w:ind w:left="20"/>
              <w:jc w:val="both"/>
            </w:pPr>
            <w:r>
              <w:rPr>
                <w:rFonts w:ascii="Times New Roman"/>
                <w:b w:val="false"/>
                <w:i w:val="false"/>
                <w:color w:val="000000"/>
                <w:sz w:val="20"/>
              </w:rPr>
              <w:t>
- Восьмислойная система видеоэффектов с функциями разделения экрана и PinP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Гибридное совещание RSI (Zoom)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w:t>
            </w:r>
            <w:r>
              <w:rPr>
                <w:rFonts w:ascii="Times New Roman"/>
                <w:b/>
                <w:i w:val="false"/>
                <w:color w:val="000000"/>
                <w:sz w:val="20"/>
              </w:rPr>
              <w:t>Запись места проведения</w:t>
            </w:r>
          </w:p>
          <w:bookmarkEnd w:id="94"/>
          <w:p>
            <w:pPr>
              <w:spacing w:after="20"/>
              <w:ind w:left="20"/>
              <w:jc w:val="both"/>
            </w:pPr>
            <w:r>
              <w:rPr>
                <w:rFonts w:ascii="Times New Roman"/>
                <w:b w:val="false"/>
                <w:i w:val="false"/>
                <w:color w:val="000000"/>
                <w:sz w:val="20"/>
              </w:rPr>
              <w:t>
Аудио USB интерфейс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5"/>
          <w:p>
            <w:pPr>
              <w:spacing w:after="20"/>
              <w:ind w:left="20"/>
              <w:jc w:val="both"/>
            </w:pPr>
            <w:r>
              <w:rPr>
                <w:rFonts w:ascii="Times New Roman"/>
                <w:b w:val="false"/>
                <w:i w:val="false"/>
                <w:color w:val="000000"/>
                <w:sz w:val="20"/>
              </w:rPr>
              <w:t>
Ноутбук для записи места проведения</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 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Центральный процессор i7</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6"/>
          <w:p>
            <w:pPr>
              <w:spacing w:after="20"/>
              <w:ind w:left="20"/>
              <w:jc w:val="both"/>
            </w:pPr>
            <w:r>
              <w:rPr>
                <w:rFonts w:ascii="Times New Roman"/>
                <w:b w:val="false"/>
                <w:i w:val="false"/>
                <w:color w:val="000000"/>
                <w:sz w:val="20"/>
              </w:rPr>
              <w:t>
</w:t>
            </w:r>
            <w:r>
              <w:rPr>
                <w:rFonts w:ascii="Times New Roman"/>
                <w:b/>
                <w:i w:val="false"/>
                <w:color w:val="000000"/>
                <w:sz w:val="20"/>
              </w:rPr>
              <w:t>Стенды на объекте (жесткая консоль)</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Ноутбуки для подключения к Zoom со следующими минимальными характеристиками: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 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Центральный процессор i7</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свободный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USB интерфейс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 свободный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7"/>
          <w:p>
            <w:pPr>
              <w:spacing w:after="20"/>
              <w:ind w:left="20"/>
              <w:jc w:val="both"/>
            </w:pPr>
            <w:r>
              <w:rPr>
                <w:rFonts w:ascii="Times New Roman"/>
                <w:b w:val="false"/>
                <w:i w:val="false"/>
                <w:color w:val="000000"/>
                <w:sz w:val="20"/>
              </w:rPr>
              <w:t>
</w:t>
            </w:r>
            <w:r>
              <w:rPr>
                <w:rFonts w:ascii="Times New Roman"/>
                <w:b/>
                <w:i w:val="false"/>
                <w:color w:val="000000"/>
                <w:sz w:val="20"/>
              </w:rPr>
              <w:t>Запись</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Аудиозапись</w:t>
            </w:r>
          </w:p>
          <w:p>
            <w:pPr>
              <w:spacing w:after="20"/>
              <w:ind w:left="20"/>
              <w:jc w:val="both"/>
            </w:pPr>
            <w:r>
              <w:rPr>
                <w:rFonts w:ascii="Times New Roman"/>
                <w:b w:val="false"/>
                <w:i w:val="false"/>
                <w:color w:val="000000"/>
                <w:sz w:val="20"/>
              </w:rPr>
              <w:t>
Видеозапись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язык выступления + английский</w:t>
            </w:r>
          </w:p>
          <w:p>
            <w:pPr>
              <w:spacing w:after="20"/>
              <w:ind w:left="20"/>
              <w:jc w:val="both"/>
            </w:pPr>
            <w:r>
              <w:rPr>
                <w:rFonts w:ascii="Times New Roman"/>
                <w:b w:val="false"/>
                <w:i w:val="false"/>
                <w:color w:val="000000"/>
                <w:sz w:val="20"/>
              </w:rPr>
              <w:t>
Да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w:t>
            </w:r>
            <w:r>
              <w:rPr>
                <w:rFonts w:ascii="Times New Roman"/>
                <w:b/>
                <w:i w:val="false"/>
                <w:color w:val="000000"/>
                <w:sz w:val="20"/>
              </w:rPr>
              <w:t>Доступность</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Ноутбук для создания субтитров с использованием искусственного интеллекта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 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Центральный процессор і7</w:t>
            </w:r>
          </w:p>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 для сурдопереводчика (Zoom)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Windows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Твердотельный накопитель 250 гб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Память 8 гб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MS Office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Центральный процессор і7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Последняя версия Zoom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Английская операционная система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 (пандусы) для инвалидных колясок или любая другая модификация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Многофункциональные принтеры (МФУ): охватывают ксерокс, (с устройствами подачи, сортировки и сшивки со скоростью не менее 80 стр/мин,) принтер (не менее 35 страниц в минуту) и сканер, монохромный и цветной принтер, поддержка беспроводной печати с ноутбуков)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Флагшток и держатели (для флагов 53 государств-членов ЭСКАТО, 9 ассоциированных членов ЭСКАТО и 2 Организации Объединенных Наций)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bl>
    <w:bookmarkStart w:name="z140" w:id="99"/>
    <w:p>
      <w:pPr>
        <w:spacing w:after="0"/>
        <w:ind w:left="0"/>
        <w:jc w:val="left"/>
      </w:pPr>
      <w:r>
        <w:rPr>
          <w:rFonts w:ascii="Times New Roman"/>
          <w:b/>
          <w:i w:val="false"/>
          <w:color w:val="000000"/>
        </w:rPr>
        <w:t xml:space="preserve"> I-2. Конференц-залы для проведения специальных/сторонних мероприятий</w:t>
      </w:r>
    </w:p>
    <w:bookmarkEnd w:id="99"/>
    <w:bookmarkStart w:name="z141" w:id="100"/>
    <w:p>
      <w:pPr>
        <w:spacing w:after="0"/>
        <w:ind w:left="0"/>
        <w:jc w:val="both"/>
      </w:pPr>
      <w:r>
        <w:rPr>
          <w:rFonts w:ascii="Times New Roman"/>
          <w:b w:val="false"/>
          <w:i w:val="false"/>
          <w:color w:val="000000"/>
          <w:sz w:val="28"/>
        </w:rPr>
        <w:t>
      14. Для проведения специальных/внеплановых мероприятий требуется два конференц-зала на 100 мест, оборудованных системами громкого оповещения и проекционными системами. Необходимо установить пять микрофонов на трибуне и 50 микрофонов для участников в каждом зале. На трибуне необходимо установить не менее двух светодиодных мониторов, чтобы председатель и другие выступающие могли следить за ходом работы в обоих залах. Залы заседаний должны быть оснащены необходимым оборудованием для обеспечения возможности участия участников через платформу виртуальных заседаний.</w:t>
      </w:r>
    </w:p>
    <w:bookmarkEnd w:id="100"/>
    <w:bookmarkStart w:name="z142" w:id="101"/>
    <w:p>
      <w:pPr>
        <w:spacing w:after="0"/>
        <w:ind w:left="0"/>
        <w:jc w:val="both"/>
      </w:pPr>
      <w:r>
        <w:rPr>
          <w:rFonts w:ascii="Times New Roman"/>
          <w:b w:val="false"/>
          <w:i w:val="false"/>
          <w:color w:val="000000"/>
          <w:sz w:val="28"/>
        </w:rPr>
        <w:t>
      15. Светодиодные видеостены (или ЖК-проекторы и проекционные экраны), ноутбуки, оснащенные операционной системой и MS office на английском языке, каждый с беспроводной мышью, должны быть доступны в переговорных комнатах, где могут потребоваться визуальные презентации и возможно, редактирование текста. Кроме того, переговорная комната должна быть полностью оборудована видео коммутатором (коммутаторами) и камерами, а также средствами аудиозаписи. Система видеонаблюдения должна включать в себя 3 камеры с операторами и пультом управления, снимающие происходящее с трибуны и из динамиков. Для наблюдения за ходом работы на трибуне должны быть предусмотрены два светодиодных экрана. Эти помещения должны быть доступны за два дня до начала конференции и до ее окончания.</w:t>
      </w:r>
    </w:p>
    <w:bookmarkEnd w:id="101"/>
    <w:bookmarkStart w:name="z143" w:id="102"/>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B. Требования к каждому конференц-залу для проведения специальных/торжественных мероприятий</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Зал для сопутствующих мероприятий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3"/>
          <w:p>
            <w:pPr>
              <w:spacing w:after="20"/>
              <w:ind w:left="20"/>
              <w:jc w:val="both"/>
            </w:pPr>
            <w:r>
              <w:rPr>
                <w:rFonts w:ascii="Times New Roman"/>
                <w:b w:val="false"/>
                <w:i w:val="false"/>
                <w:color w:val="000000"/>
                <w:sz w:val="20"/>
              </w:rPr>
              <w:t>
</w:t>
            </w:r>
            <w:r>
              <w:rPr>
                <w:rFonts w:ascii="Times New Roman"/>
                <w:b/>
                <w:i w:val="false"/>
                <w:color w:val="000000"/>
                <w:sz w:val="20"/>
              </w:rPr>
              <w:t>Система ССП</w:t>
            </w:r>
          </w:p>
          <w:bookmarkEnd w:id="103"/>
          <w:p>
            <w:pPr>
              <w:spacing w:after="20"/>
              <w:ind w:left="20"/>
              <w:jc w:val="both"/>
            </w:pPr>
            <w:r>
              <w:rPr>
                <w:rFonts w:ascii="Times New Roman"/>
                <w:b w:val="false"/>
                <w:i w:val="false"/>
                <w:color w:val="000000"/>
                <w:sz w:val="20"/>
              </w:rPr>
              <w:t>
Микрофоны для головных столов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4"/>
          <w:p>
            <w:pPr>
              <w:spacing w:after="20"/>
              <w:ind w:left="20"/>
              <w:jc w:val="both"/>
            </w:pPr>
            <w:r>
              <w:rPr>
                <w:rFonts w:ascii="Times New Roman"/>
                <w:b w:val="false"/>
                <w:i w:val="false"/>
                <w:color w:val="000000"/>
                <w:sz w:val="20"/>
              </w:rPr>
              <w:t>
Микрофоны для делегатов</w:t>
            </w:r>
          </w:p>
          <w:bookmarkEnd w:id="104"/>
          <w:p>
            <w:pPr>
              <w:spacing w:after="20"/>
              <w:ind w:left="20"/>
              <w:jc w:val="both"/>
            </w:pPr>
            <w:r>
              <w:rPr>
                <w:rFonts w:ascii="Times New Roman"/>
                <w:b w:val="false"/>
                <w:i w:val="false"/>
                <w:color w:val="000000"/>
                <w:sz w:val="20"/>
              </w:rPr>
              <w:t>
Блок управления ССП и аксессуары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5"/>
          <w:p>
            <w:pPr>
              <w:spacing w:after="20"/>
              <w:ind w:left="20"/>
              <w:jc w:val="both"/>
            </w:pPr>
            <w:r>
              <w:rPr>
                <w:rFonts w:ascii="Times New Roman"/>
                <w:b w:val="false"/>
                <w:i w:val="false"/>
                <w:color w:val="000000"/>
                <w:sz w:val="20"/>
              </w:rPr>
              <w:t>
50</w:t>
            </w:r>
          </w:p>
          <w:bookmarkEnd w:id="105"/>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аудиовыхода (язык выступления)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6"/>
          <w:p>
            <w:pPr>
              <w:spacing w:after="20"/>
              <w:ind w:left="20"/>
              <w:jc w:val="both"/>
            </w:pPr>
            <w:r>
              <w:rPr>
                <w:rFonts w:ascii="Times New Roman"/>
                <w:b w:val="false"/>
                <w:i w:val="false"/>
                <w:color w:val="000000"/>
                <w:sz w:val="20"/>
              </w:rPr>
              <w:t>
Пассивные аудиоразветвители линейного уровня (1x4)</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 Балансный вход и выход линейного уровня</w:t>
            </w:r>
          </w:p>
          <w:p>
            <w:pPr>
              <w:spacing w:after="20"/>
              <w:ind w:left="20"/>
              <w:jc w:val="both"/>
            </w:pPr>
            <w:r>
              <w:rPr>
                <w:rFonts w:ascii="Times New Roman"/>
                <w:b w:val="false"/>
                <w:i w:val="false"/>
                <w:color w:val="000000"/>
                <w:sz w:val="20"/>
              </w:rPr>
              <w:t>
- Расширяемое помехоустойчивое 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7"/>
          <w:p>
            <w:pPr>
              <w:spacing w:after="20"/>
              <w:ind w:left="20"/>
              <w:jc w:val="both"/>
            </w:pPr>
            <w:r>
              <w:rPr>
                <w:rFonts w:ascii="Times New Roman"/>
                <w:b w:val="false"/>
                <w:i w:val="false"/>
                <w:color w:val="000000"/>
                <w:sz w:val="20"/>
              </w:rPr>
              <w:t>
</w:t>
            </w:r>
            <w:r>
              <w:rPr>
                <w:rFonts w:ascii="Times New Roman"/>
                <w:b/>
                <w:i w:val="false"/>
                <w:color w:val="000000"/>
                <w:sz w:val="20"/>
              </w:rPr>
              <w:t>Презентационное оборудование</w:t>
            </w:r>
          </w:p>
          <w:bookmarkEnd w:id="107"/>
          <w:p>
            <w:pPr>
              <w:spacing w:after="20"/>
              <w:ind w:left="20"/>
              <w:jc w:val="both"/>
            </w:pPr>
            <w:r>
              <w:rPr>
                <w:rFonts w:ascii="Times New Roman"/>
                <w:b w:val="false"/>
                <w:i w:val="false"/>
                <w:color w:val="000000"/>
                <w:sz w:val="20"/>
              </w:rPr>
              <w:t>
Светодиодная видео стена (или ЖК-проектор и проекционный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HD-камеры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8"/>
          <w:p>
            <w:pPr>
              <w:spacing w:after="20"/>
              <w:ind w:left="20"/>
              <w:jc w:val="both"/>
            </w:pPr>
            <w:r>
              <w:rPr>
                <w:rFonts w:ascii="Times New Roman"/>
                <w:b w:val="false"/>
                <w:i w:val="false"/>
                <w:color w:val="000000"/>
                <w:sz w:val="20"/>
              </w:rPr>
              <w:t>
Ноутбуки со следующими минимальными характеристиками:</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Windows10 (система на английском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 гб</w:t>
            </w:r>
          </w:p>
          <w:p>
            <w:pPr>
              <w:spacing w:after="20"/>
              <w:ind w:left="20"/>
              <w:jc w:val="both"/>
            </w:pPr>
            <w:r>
              <w:rPr>
                <w:rFonts w:ascii="Times New Roman"/>
                <w:b w:val="false"/>
                <w:i w:val="false"/>
                <w:color w:val="000000"/>
                <w:sz w:val="20"/>
              </w:rPr>
              <w:t>
- MS Office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9"/>
          <w:p>
            <w:pPr>
              <w:spacing w:after="20"/>
              <w:ind w:left="20"/>
              <w:jc w:val="both"/>
            </w:pPr>
            <w:r>
              <w:rPr>
                <w:rFonts w:ascii="Times New Roman"/>
                <w:b w:val="false"/>
                <w:i w:val="false"/>
                <w:color w:val="000000"/>
                <w:sz w:val="20"/>
              </w:rPr>
              <w:t>
- Центральный процессор i7</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 Система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таймер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Бесшовный матричный коммутатор HDMI (8x8)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0"/>
          <w:p>
            <w:pPr>
              <w:spacing w:after="20"/>
              <w:ind w:left="20"/>
              <w:jc w:val="both"/>
            </w:pPr>
            <w:r>
              <w:rPr>
                <w:rFonts w:ascii="Times New Roman"/>
                <w:b w:val="false"/>
                <w:i w:val="false"/>
                <w:color w:val="000000"/>
                <w:sz w:val="20"/>
              </w:rPr>
              <w:t>
Коммутатор потокового видео</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Семь общих выходов на SDI, HDMI и USB-C</w:t>
            </w:r>
          </w:p>
          <w:p>
            <w:pPr>
              <w:spacing w:after="20"/>
              <w:ind w:left="20"/>
              <w:jc w:val="both"/>
            </w:pPr>
            <w:r>
              <w:rPr>
                <w:rFonts w:ascii="Times New Roman"/>
                <w:b w:val="false"/>
                <w:i w:val="false"/>
                <w:color w:val="000000"/>
                <w:sz w:val="20"/>
              </w:rPr>
              <w:t>
</w:t>
            </w:r>
            <w:r>
              <w:rPr>
                <w:rFonts w:ascii="Times New Roman"/>
                <w:b w:val="false"/>
                <w:i w:val="false"/>
                <w:color w:val="000000"/>
                <w:sz w:val="20"/>
              </w:rPr>
              <w:t>- Выбираемые режимы вывода: программа, подпрограмма, Aux, предварительный просмотр и Multi-View</w:t>
            </w:r>
          </w:p>
          <w:p>
            <w:pPr>
              <w:spacing w:after="20"/>
              <w:ind w:left="20"/>
              <w:jc w:val="both"/>
            </w:pPr>
            <w:r>
              <w:rPr>
                <w:rFonts w:ascii="Times New Roman"/>
                <w:b w:val="false"/>
                <w:i w:val="false"/>
                <w:color w:val="000000"/>
                <w:sz w:val="20"/>
              </w:rPr>
              <w:t>
</w:t>
            </w:r>
            <w:r>
              <w:rPr>
                <w:rFonts w:ascii="Times New Roman"/>
                <w:b w:val="false"/>
                <w:i w:val="false"/>
                <w:color w:val="000000"/>
                <w:sz w:val="20"/>
              </w:rPr>
              <w:t>- Восемь входов 3G SDI и HDMI</w:t>
            </w:r>
          </w:p>
          <w:p>
            <w:pPr>
              <w:spacing w:after="20"/>
              <w:ind w:left="20"/>
              <w:jc w:val="both"/>
            </w:pPr>
            <w:r>
              <w:rPr>
                <w:rFonts w:ascii="Times New Roman"/>
                <w:b w:val="false"/>
                <w:i w:val="false"/>
                <w:color w:val="000000"/>
                <w:sz w:val="20"/>
              </w:rPr>
              <w:t>
- Восьмислойная система видеоэффектов с функциями разделения экрана и PinP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1"/>
          <w:p>
            <w:pPr>
              <w:spacing w:after="20"/>
              <w:ind w:left="20"/>
              <w:jc w:val="both"/>
            </w:pPr>
            <w:r>
              <w:rPr>
                <w:rFonts w:ascii="Times New Roman"/>
                <w:b w:val="false"/>
                <w:i w:val="false"/>
                <w:color w:val="000000"/>
                <w:sz w:val="20"/>
              </w:rPr>
              <w:t>
</w:t>
            </w:r>
            <w:r>
              <w:rPr>
                <w:rFonts w:ascii="Times New Roman"/>
                <w:b/>
                <w:i w:val="false"/>
                <w:color w:val="000000"/>
                <w:sz w:val="20"/>
              </w:rPr>
              <w:t>Гибридное совещание (Zoom)</w:t>
            </w:r>
          </w:p>
          <w:bookmarkEnd w:id="111"/>
          <w:p>
            <w:pPr>
              <w:spacing w:after="20"/>
              <w:ind w:left="20"/>
              <w:jc w:val="both"/>
            </w:pPr>
            <w:r>
              <w:rPr>
                <w:rFonts w:ascii="Times New Roman"/>
                <w:b w:val="false"/>
                <w:i w:val="false"/>
                <w:color w:val="000000"/>
                <w:sz w:val="20"/>
              </w:rPr>
              <w:t>
</w:t>
            </w:r>
            <w:r>
              <w:rPr>
                <w:rFonts w:ascii="Times New Roman"/>
                <w:b/>
                <w:i w:val="false"/>
                <w:color w:val="000000"/>
                <w:sz w:val="20"/>
              </w:rPr>
              <w:t>Запись места проведения</w:t>
            </w:r>
          </w:p>
          <w:p>
            <w:pPr>
              <w:spacing w:after="20"/>
              <w:ind w:left="20"/>
              <w:jc w:val="both"/>
            </w:pPr>
            <w:r>
              <w:rPr>
                <w:rFonts w:ascii="Times New Roman"/>
                <w:b w:val="false"/>
                <w:i w:val="false"/>
                <w:color w:val="000000"/>
                <w:sz w:val="20"/>
              </w:rPr>
              <w:t>
Аудио USB интерфейс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2"/>
          <w:p>
            <w:pPr>
              <w:spacing w:after="20"/>
              <w:ind w:left="20"/>
              <w:jc w:val="both"/>
            </w:pPr>
            <w:r>
              <w:rPr>
                <w:rFonts w:ascii="Times New Roman"/>
                <w:b w:val="false"/>
                <w:i w:val="false"/>
                <w:color w:val="000000"/>
                <w:sz w:val="20"/>
              </w:rPr>
              <w:t>
Ноутбук для записи места проведения</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Windows10</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 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Центральный процессор i7</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 Операционная система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3"/>
          <w:p>
            <w:pPr>
              <w:spacing w:after="20"/>
              <w:ind w:left="20"/>
              <w:jc w:val="both"/>
            </w:pPr>
            <w:r>
              <w:rPr>
                <w:rFonts w:ascii="Times New Roman"/>
                <w:b w:val="false"/>
                <w:i w:val="false"/>
                <w:color w:val="000000"/>
                <w:sz w:val="20"/>
              </w:rPr>
              <w:t>
</w:t>
            </w:r>
            <w:r>
              <w:rPr>
                <w:rFonts w:ascii="Times New Roman"/>
                <w:b/>
                <w:i w:val="false"/>
                <w:color w:val="000000"/>
                <w:sz w:val="20"/>
              </w:rPr>
              <w:t>Запись</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Аудиозапись</w:t>
            </w:r>
          </w:p>
          <w:p>
            <w:pPr>
              <w:spacing w:after="20"/>
              <w:ind w:left="20"/>
              <w:jc w:val="both"/>
            </w:pPr>
            <w:r>
              <w:rPr>
                <w:rFonts w:ascii="Times New Roman"/>
                <w:b w:val="false"/>
                <w:i w:val="false"/>
                <w:color w:val="000000"/>
                <w:sz w:val="20"/>
              </w:rPr>
              <w:t>
Видеозапись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 (пандусы) для инвалидных колясок или любая другая модификация объекта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1</w:t>
            </w:r>
          </w:p>
        </w:tc>
      </w:tr>
    </w:tbl>
    <w:bookmarkStart w:name="z172" w:id="114"/>
    <w:p>
      <w:pPr>
        <w:spacing w:after="0"/>
        <w:ind w:left="0"/>
        <w:jc w:val="both"/>
      </w:pPr>
      <w:r>
        <w:rPr>
          <w:rFonts w:ascii="Times New Roman"/>
          <w:b w:val="false"/>
          <w:i w:val="false"/>
          <w:color w:val="000000"/>
          <w:sz w:val="28"/>
        </w:rPr>
        <w:t xml:space="preserve">
      </w:t>
      </w:r>
      <w:r>
        <w:rPr>
          <w:rFonts w:ascii="Times New Roman"/>
          <w:b/>
          <w:i w:val="false"/>
          <w:color w:val="000000"/>
          <w:sz w:val="28"/>
        </w:rPr>
        <w:t>І-3. Зал для консультативных совещаний</w:t>
      </w:r>
    </w:p>
    <w:bookmarkEnd w:id="114"/>
    <w:bookmarkStart w:name="z173" w:id="115"/>
    <w:p>
      <w:pPr>
        <w:spacing w:after="0"/>
        <w:ind w:left="0"/>
        <w:jc w:val="both"/>
      </w:pPr>
      <w:r>
        <w:rPr>
          <w:rFonts w:ascii="Times New Roman"/>
          <w:b w:val="false"/>
          <w:i w:val="false"/>
          <w:color w:val="000000"/>
          <w:sz w:val="28"/>
        </w:rPr>
        <w:t>
      16. Для проведения подготовительных и консультационных совещаний Секретариата, включая совещания с официальными представителями принимающей страны и соответствующими подрядчиками, необходим один зал среднего размера на 20 мест, оборудованный проектором и системой громкой связи. Эта комната должна быть доступна за два дня до начала конференции и до ее окончания.</w:t>
      </w:r>
    </w:p>
    <w:bookmarkEnd w:id="115"/>
    <w:bookmarkStart w:name="z174" w:id="11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C. Требования к помещению для проведения консультаций</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 для консультаций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Система громкой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делегатов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управления аудиосистемой и аксессуары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аудиовыхода (язык выступления)</w:t>
            </w:r>
          </w:p>
          <w:p>
            <w:pPr>
              <w:spacing w:after="20"/>
              <w:ind w:left="20"/>
              <w:jc w:val="both"/>
            </w:pPr>
            <w:r>
              <w:rPr>
                <w:rFonts w:ascii="Times New Roman"/>
                <w:b w:val="false"/>
                <w:i w:val="false"/>
                <w:color w:val="000000"/>
                <w:sz w:val="20"/>
              </w:rPr>
              <w:t>
- Балансные вход и выход линейного уровня</w:t>
            </w:r>
          </w:p>
          <w:p>
            <w:pPr>
              <w:spacing w:after="20"/>
              <w:ind w:left="20"/>
              <w:jc w:val="both"/>
            </w:pPr>
            <w:r>
              <w:rPr>
                <w:rFonts w:ascii="Times New Roman"/>
                <w:b w:val="false"/>
                <w:i w:val="false"/>
                <w:color w:val="000000"/>
                <w:sz w:val="20"/>
              </w:rPr>
              <w:t>
- Расширяемое помехоустойчивое разделение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7"/>
          <w:p>
            <w:pPr>
              <w:spacing w:after="20"/>
              <w:ind w:left="20"/>
              <w:jc w:val="both"/>
            </w:pPr>
            <w:r>
              <w:rPr>
                <w:rFonts w:ascii="Times New Roman"/>
                <w:b w:val="false"/>
                <w:i w:val="false"/>
                <w:color w:val="000000"/>
                <w:sz w:val="20"/>
              </w:rPr>
              <w:t>
</w:t>
            </w:r>
            <w:r>
              <w:rPr>
                <w:rFonts w:ascii="Times New Roman"/>
                <w:b/>
                <w:i w:val="false"/>
                <w:color w:val="000000"/>
                <w:sz w:val="20"/>
              </w:rPr>
              <w:t>Презентационное оборудование</w:t>
            </w:r>
          </w:p>
          <w:bookmarkEnd w:id="117"/>
          <w:p>
            <w:pPr>
              <w:spacing w:after="20"/>
              <w:ind w:left="20"/>
              <w:jc w:val="both"/>
            </w:pPr>
            <w:r>
              <w:rPr>
                <w:rFonts w:ascii="Times New Roman"/>
                <w:b w:val="false"/>
                <w:i w:val="false"/>
                <w:color w:val="000000"/>
                <w:sz w:val="20"/>
              </w:rPr>
              <w:t>
Светодиодная видео стена (или ЖК-проектор и проекционный экран)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8"/>
          <w:p>
            <w:pPr>
              <w:spacing w:after="20"/>
              <w:ind w:left="20"/>
              <w:jc w:val="both"/>
            </w:pPr>
            <w:r>
              <w:rPr>
                <w:rFonts w:ascii="Times New Roman"/>
                <w:b w:val="false"/>
                <w:i w:val="false"/>
                <w:color w:val="000000"/>
                <w:sz w:val="20"/>
              </w:rPr>
              <w:t>
Ноутбуки со следующими минимальными характеристиками:</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Windows10 (система на английском языке)</w:t>
            </w:r>
          </w:p>
          <w:p>
            <w:pPr>
              <w:spacing w:after="20"/>
              <w:ind w:left="20"/>
              <w:jc w:val="both"/>
            </w:pPr>
            <w:r>
              <w:rPr>
                <w:rFonts w:ascii="Times New Roman"/>
                <w:b w:val="false"/>
                <w:i w:val="false"/>
                <w:color w:val="000000"/>
                <w:sz w:val="20"/>
              </w:rPr>
              <w:t>
</w:t>
            </w:r>
            <w:r>
              <w:rPr>
                <w:rFonts w:ascii="Times New Roman"/>
                <w:b w:val="false"/>
                <w:i w:val="false"/>
                <w:color w:val="000000"/>
                <w:sz w:val="20"/>
              </w:rPr>
              <w:t>- Твердотельный накопитель 250 гб</w:t>
            </w:r>
          </w:p>
          <w:p>
            <w:pPr>
              <w:spacing w:after="20"/>
              <w:ind w:left="20"/>
              <w:jc w:val="both"/>
            </w:pPr>
            <w:r>
              <w:rPr>
                <w:rFonts w:ascii="Times New Roman"/>
                <w:b w:val="false"/>
                <w:i w:val="false"/>
                <w:color w:val="000000"/>
                <w:sz w:val="20"/>
              </w:rPr>
              <w:t>
</w:t>
            </w:r>
            <w:r>
              <w:rPr>
                <w:rFonts w:ascii="Times New Roman"/>
                <w:b w:val="false"/>
                <w:i w:val="false"/>
                <w:color w:val="000000"/>
                <w:sz w:val="20"/>
              </w:rPr>
              <w:t>- Память 8ГБ</w:t>
            </w:r>
          </w:p>
          <w:p>
            <w:pPr>
              <w:spacing w:after="20"/>
              <w:ind w:left="20"/>
              <w:jc w:val="both"/>
            </w:pPr>
            <w:r>
              <w:rPr>
                <w:rFonts w:ascii="Times New Roman"/>
                <w:b w:val="false"/>
                <w:i w:val="false"/>
                <w:color w:val="000000"/>
                <w:sz w:val="20"/>
              </w:rPr>
              <w:t>
</w:t>
            </w:r>
            <w:r>
              <w:rPr>
                <w:rFonts w:ascii="Times New Roman"/>
                <w:b w:val="false"/>
                <w:i w:val="false"/>
                <w:color w:val="000000"/>
                <w:sz w:val="20"/>
              </w:rPr>
              <w:t>- MS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 Центральный процессор i7</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Последняя версия Zoom</w:t>
            </w:r>
          </w:p>
          <w:p>
            <w:pPr>
              <w:spacing w:after="20"/>
              <w:ind w:left="20"/>
              <w:jc w:val="both"/>
            </w:pPr>
            <w:r>
              <w:rPr>
                <w:rFonts w:ascii="Times New Roman"/>
                <w:b w:val="false"/>
                <w:i w:val="false"/>
                <w:color w:val="000000"/>
                <w:sz w:val="20"/>
              </w:rPr>
              <w:t>
- Система на английском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42" для головного стола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21" для технического специалиста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SDI/HDMI конвертер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3" w:id="119"/>
    <w:p>
      <w:pPr>
        <w:spacing w:after="0"/>
        <w:ind w:left="0"/>
        <w:jc w:val="left"/>
      </w:pPr>
      <w:r>
        <w:rPr>
          <w:rFonts w:ascii="Times New Roman"/>
          <w:b/>
          <w:i w:val="false"/>
          <w:color w:val="000000"/>
        </w:rPr>
        <w:t xml:space="preserve"> І-4. Пресс-центр</w:t>
      </w:r>
    </w:p>
    <w:bookmarkEnd w:id="119"/>
    <w:bookmarkStart w:name="z184" w:id="120"/>
    <w:p>
      <w:pPr>
        <w:spacing w:after="0"/>
        <w:ind w:left="0"/>
        <w:jc w:val="both"/>
      </w:pPr>
      <w:r>
        <w:rPr>
          <w:rFonts w:ascii="Times New Roman"/>
          <w:b w:val="false"/>
          <w:i w:val="false"/>
          <w:color w:val="000000"/>
          <w:sz w:val="28"/>
        </w:rPr>
        <w:t>
      17. Для СМИ необходим один конференц-зал среднего размера на 50 мест, оборудованный проектором и системой громкой связи. Он будет использоваться для проведения любых пресс-конференций, а также в качестве рабочей зоны для местных и иностранных корреспондентов. Этот зал должен быть доступен за ОДИН день до начала конференции и до ее окончания.</w:t>
      </w:r>
    </w:p>
    <w:bookmarkEnd w:id="120"/>
    <w:bookmarkStart w:name="z185" w:id="12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D. Требования к пресс-центру</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Медиа комната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2"/>
          <w:p>
            <w:pPr>
              <w:spacing w:after="20"/>
              <w:ind w:left="20"/>
              <w:jc w:val="both"/>
            </w:pPr>
            <w:r>
              <w:rPr>
                <w:rFonts w:ascii="Times New Roman"/>
                <w:b w:val="false"/>
                <w:i w:val="false"/>
                <w:color w:val="000000"/>
                <w:sz w:val="20"/>
              </w:rPr>
              <w:t>
</w:t>
            </w:r>
            <w:r>
              <w:rPr>
                <w:rFonts w:ascii="Times New Roman"/>
                <w:b/>
                <w:i w:val="false"/>
                <w:color w:val="000000"/>
                <w:sz w:val="20"/>
              </w:rPr>
              <w:t>Система громкой связи</w:t>
            </w:r>
          </w:p>
          <w:bookmarkEnd w:id="122"/>
          <w:p>
            <w:pPr>
              <w:spacing w:after="20"/>
              <w:ind w:left="20"/>
              <w:jc w:val="both"/>
            </w:pPr>
            <w:r>
              <w:rPr>
                <w:rFonts w:ascii="Times New Roman"/>
                <w:b w:val="false"/>
                <w:i w:val="false"/>
                <w:color w:val="000000"/>
                <w:sz w:val="20"/>
              </w:rPr>
              <w:t>
Микрофоны делегатов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3"/>
          <w:p>
            <w:pPr>
              <w:spacing w:after="20"/>
              <w:ind w:left="20"/>
              <w:jc w:val="both"/>
            </w:pPr>
            <w:r>
              <w:rPr>
                <w:rFonts w:ascii="Times New Roman"/>
                <w:b w:val="false"/>
                <w:i w:val="false"/>
                <w:color w:val="000000"/>
                <w:sz w:val="20"/>
              </w:rPr>
              <w:t>
Блок управления аудиосистемой и аксессуары</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Аудио пресс-бокс (язык выступления)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- 2 входа MIC (фантомное питание) / LINE - балансные с регулятором усиления и PAD 26 дБ</w:t>
            </w:r>
          </w:p>
          <w:p>
            <w:pPr>
              <w:spacing w:after="20"/>
              <w:ind w:left="20"/>
              <w:jc w:val="both"/>
            </w:pPr>
            <w:r>
              <w:rPr>
                <w:rFonts w:ascii="Times New Roman"/>
                <w:b w:val="false"/>
                <w:i w:val="false"/>
                <w:color w:val="000000"/>
                <w:sz w:val="20"/>
              </w:rPr>
              <w:t>
- 16 балансных выходов с индивидуальной трансформаторной развязкой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0" w:id="124"/>
    <w:p>
      <w:pPr>
        <w:spacing w:after="0"/>
        <w:ind w:left="0"/>
        <w:jc w:val="left"/>
      </w:pPr>
      <w:r>
        <w:rPr>
          <w:rFonts w:ascii="Times New Roman"/>
          <w:b/>
          <w:i w:val="false"/>
          <w:color w:val="000000"/>
        </w:rPr>
        <w:t xml:space="preserve"> І-5. Двусторонние конференц-залы</w:t>
      </w:r>
    </w:p>
    <w:bookmarkEnd w:id="124"/>
    <w:bookmarkStart w:name="z191" w:id="125"/>
    <w:p>
      <w:pPr>
        <w:spacing w:after="0"/>
        <w:ind w:left="0"/>
        <w:jc w:val="both"/>
      </w:pPr>
      <w:r>
        <w:rPr>
          <w:rFonts w:ascii="Times New Roman"/>
          <w:b w:val="false"/>
          <w:i w:val="false"/>
          <w:color w:val="000000"/>
          <w:sz w:val="28"/>
        </w:rPr>
        <w:t>
      18. Для проведения двусторонних консультаций между странами необходимы два небольших конференц-зала вместимостью 15-20 человек каждый, оборудованных креслами, диванами и центральными столами. Эти комнаты должны быть доступны за один день до начала конференции и до ее окончания.</w:t>
      </w:r>
    </w:p>
    <w:bookmarkEnd w:id="125"/>
    <w:bookmarkStart w:name="z192" w:id="126"/>
    <w:p>
      <w:pPr>
        <w:spacing w:after="0"/>
        <w:ind w:left="0"/>
        <w:jc w:val="left"/>
      </w:pPr>
      <w:r>
        <w:rPr>
          <w:rFonts w:ascii="Times New Roman"/>
          <w:b/>
          <w:i w:val="false"/>
          <w:color w:val="000000"/>
        </w:rPr>
        <w:t xml:space="preserve"> I-6. VIP-зал</w:t>
      </w:r>
    </w:p>
    <w:bookmarkEnd w:id="126"/>
    <w:bookmarkStart w:name="z193" w:id="127"/>
    <w:p>
      <w:pPr>
        <w:spacing w:after="0"/>
        <w:ind w:left="0"/>
        <w:jc w:val="both"/>
      </w:pPr>
      <w:r>
        <w:rPr>
          <w:rFonts w:ascii="Times New Roman"/>
          <w:b w:val="false"/>
          <w:i w:val="false"/>
          <w:color w:val="000000"/>
          <w:sz w:val="28"/>
        </w:rPr>
        <w:t>
      19. Для приема и использования делегатов министерского уровня требуется один VIP-зал на 15-25 человек, оборудованный креслами, диванами и центральными столами. Это помещение должно быть доступно в течение трех дней работы конференции.</w:t>
      </w:r>
    </w:p>
    <w:bookmarkEnd w:id="127"/>
    <w:bookmarkStart w:name="z194" w:id="128"/>
    <w:p>
      <w:pPr>
        <w:spacing w:after="0"/>
        <w:ind w:left="0"/>
        <w:jc w:val="left"/>
      </w:pPr>
      <w:r>
        <w:rPr>
          <w:rFonts w:ascii="Times New Roman"/>
          <w:b/>
          <w:i w:val="false"/>
          <w:color w:val="000000"/>
        </w:rPr>
        <w:t xml:space="preserve"> I-7. Зона ресепшн</w:t>
      </w:r>
    </w:p>
    <w:bookmarkEnd w:id="128"/>
    <w:bookmarkStart w:name="z195" w:id="129"/>
    <w:p>
      <w:pPr>
        <w:spacing w:after="0"/>
        <w:ind w:left="0"/>
        <w:jc w:val="both"/>
      </w:pPr>
      <w:r>
        <w:rPr>
          <w:rFonts w:ascii="Times New Roman"/>
          <w:b w:val="false"/>
          <w:i w:val="false"/>
          <w:color w:val="000000"/>
          <w:sz w:val="28"/>
        </w:rPr>
        <w:t>
      20. Если принимающая сторона желает организовать прием, на который приглашаются все делегации, просим учесть, что место проведения приема должно быть достаточно большим, чтобы вместить от 200 до 400 человек.</w:t>
      </w:r>
    </w:p>
    <w:bookmarkEnd w:id="129"/>
    <w:bookmarkStart w:name="z196" w:id="130"/>
    <w:p>
      <w:pPr>
        <w:spacing w:after="0"/>
        <w:ind w:left="0"/>
        <w:jc w:val="left"/>
      </w:pPr>
      <w:r>
        <w:rPr>
          <w:rFonts w:ascii="Times New Roman"/>
          <w:b/>
          <w:i w:val="false"/>
          <w:color w:val="000000"/>
        </w:rPr>
        <w:t xml:space="preserve"> I-8. Выставочное/присоединительное пространство</w:t>
      </w:r>
    </w:p>
    <w:bookmarkEnd w:id="130"/>
    <w:bookmarkStart w:name="z197" w:id="131"/>
    <w:p>
      <w:pPr>
        <w:spacing w:after="0"/>
        <w:ind w:left="0"/>
        <w:jc w:val="both"/>
      </w:pPr>
      <w:r>
        <w:rPr>
          <w:rFonts w:ascii="Times New Roman"/>
          <w:b w:val="false"/>
          <w:i w:val="false"/>
          <w:color w:val="000000"/>
          <w:sz w:val="28"/>
        </w:rPr>
        <w:t>
      21. Государствам-членам, секретариату, другим соответствующим учреждениям Организации Объединенных Наций и при необходимости другим организациям должно быть предоставлено выставочное пространство площадью не менее 150 кв. м для демонстрации своей работы и достижений в соответствии с темой конференции. Эта зона должна находиться непосредственно за пределами зала пленарных заседаний или в непосредственной близости от него. Принимающая страна должна предоставить следующие предметы для удовлетворения потребностей различных участников выставки:</w:t>
      </w:r>
    </w:p>
    <w:bookmarkEnd w:id="131"/>
    <w:bookmarkStart w:name="z198" w:id="132"/>
    <w:p>
      <w:pPr>
        <w:spacing w:after="0"/>
        <w:ind w:left="0"/>
        <w:jc w:val="both"/>
      </w:pPr>
      <w:r>
        <w:rPr>
          <w:rFonts w:ascii="Times New Roman"/>
          <w:b w:val="false"/>
          <w:i w:val="false"/>
          <w:color w:val="000000"/>
          <w:sz w:val="28"/>
        </w:rPr>
        <w:t>
      выставочные панели с подсветкой;</w:t>
      </w:r>
    </w:p>
    <w:bookmarkEnd w:id="132"/>
    <w:bookmarkStart w:name="z199" w:id="133"/>
    <w:p>
      <w:pPr>
        <w:spacing w:after="0"/>
        <w:ind w:left="0"/>
        <w:jc w:val="both"/>
      </w:pPr>
      <w:r>
        <w:rPr>
          <w:rFonts w:ascii="Times New Roman"/>
          <w:b w:val="false"/>
          <w:i w:val="false"/>
          <w:color w:val="000000"/>
          <w:sz w:val="28"/>
        </w:rPr>
        <w:t>
      телевизионные экраны для проведения презентаций и демонстрации;</w:t>
      </w:r>
    </w:p>
    <w:bookmarkEnd w:id="133"/>
    <w:bookmarkStart w:name="z200" w:id="134"/>
    <w:p>
      <w:pPr>
        <w:spacing w:after="0"/>
        <w:ind w:left="0"/>
        <w:jc w:val="both"/>
      </w:pPr>
      <w:r>
        <w:rPr>
          <w:rFonts w:ascii="Times New Roman"/>
          <w:b w:val="false"/>
          <w:i w:val="false"/>
          <w:color w:val="000000"/>
          <w:sz w:val="28"/>
        </w:rPr>
        <w:t>
      розетки;</w:t>
      </w:r>
    </w:p>
    <w:bookmarkEnd w:id="134"/>
    <w:bookmarkStart w:name="z201" w:id="135"/>
    <w:p>
      <w:pPr>
        <w:spacing w:after="0"/>
        <w:ind w:left="0"/>
        <w:jc w:val="both"/>
      </w:pPr>
      <w:r>
        <w:rPr>
          <w:rFonts w:ascii="Times New Roman"/>
          <w:b w:val="false"/>
          <w:i w:val="false"/>
          <w:color w:val="000000"/>
          <w:sz w:val="28"/>
        </w:rPr>
        <w:t>
      столы и стулья.</w:t>
      </w:r>
    </w:p>
    <w:bookmarkEnd w:id="135"/>
    <w:bookmarkStart w:name="z202" w:id="136"/>
    <w:p>
      <w:pPr>
        <w:spacing w:after="0"/>
        <w:ind w:left="0"/>
        <w:jc w:val="both"/>
      </w:pPr>
      <w:r>
        <w:rPr>
          <w:rFonts w:ascii="Times New Roman"/>
          <w:b w:val="false"/>
          <w:i w:val="false"/>
          <w:color w:val="000000"/>
          <w:sz w:val="28"/>
        </w:rPr>
        <w:t>
      22. Эта зона должна быть доступна за два дня до начала конференции и до ее окончания.</w:t>
      </w:r>
    </w:p>
    <w:bookmarkEnd w:id="136"/>
    <w:bookmarkStart w:name="z203" w:id="137"/>
    <w:p>
      <w:pPr>
        <w:spacing w:after="0"/>
        <w:ind w:left="0"/>
        <w:jc w:val="left"/>
      </w:pPr>
      <w:r>
        <w:rPr>
          <w:rFonts w:ascii="Times New Roman"/>
          <w:b/>
          <w:i w:val="false"/>
          <w:color w:val="000000"/>
        </w:rPr>
        <w:t xml:space="preserve"> I-9. Стойка выдачи документов</w:t>
      </w:r>
    </w:p>
    <w:bookmarkEnd w:id="137"/>
    <w:bookmarkStart w:name="z204" w:id="138"/>
    <w:p>
      <w:pPr>
        <w:spacing w:after="0"/>
        <w:ind w:left="0"/>
        <w:jc w:val="both"/>
      </w:pPr>
      <w:r>
        <w:rPr>
          <w:rFonts w:ascii="Times New Roman"/>
          <w:b w:val="false"/>
          <w:i w:val="false"/>
          <w:color w:val="000000"/>
          <w:sz w:val="28"/>
        </w:rPr>
        <w:t>
      23. Рядом с залом заседаний должен быть оборудован пункт выдачи документов, оснащенный как минимум одним многофункциональным принтером для печати по требованию (ПТ). Межправительственные совещания ЭСКАТО проводятся в условиях экономии бумаги. Поэтому делегатам рекомендуется заранее загружать предсессионные документы с веб-сайта, используя свои ноутбуки, планшеты и/или смартфоны; официальные документы конференции будут распечатываться по требованию. Это место должно быть доступно за один день до начала конференции и до ее окончания.</w:t>
      </w:r>
    </w:p>
    <w:bookmarkEnd w:id="138"/>
    <w:bookmarkStart w:name="z205" w:id="139"/>
    <w:p>
      <w:pPr>
        <w:spacing w:after="0"/>
        <w:ind w:left="0"/>
        <w:jc w:val="left"/>
      </w:pPr>
      <w:r>
        <w:rPr>
          <w:rFonts w:ascii="Times New Roman"/>
          <w:b/>
          <w:i w:val="false"/>
          <w:color w:val="000000"/>
        </w:rPr>
        <w:t xml:space="preserve"> I-10. Регистрационная стойка</w:t>
      </w:r>
    </w:p>
    <w:bookmarkEnd w:id="139"/>
    <w:bookmarkStart w:name="z206" w:id="140"/>
    <w:p>
      <w:pPr>
        <w:spacing w:after="0"/>
        <w:ind w:left="0"/>
        <w:jc w:val="both"/>
      </w:pPr>
      <w:r>
        <w:rPr>
          <w:rFonts w:ascii="Times New Roman"/>
          <w:b w:val="false"/>
          <w:i w:val="false"/>
          <w:color w:val="000000"/>
          <w:sz w:val="28"/>
        </w:rPr>
        <w:t>
      24. У входа в конференц-зал необходимо установить стойку регистрации размером примерно H110 x W700 см, вмещающую 6 рабочих мест, которые должны быть оборудованы следующим образом:</w:t>
      </w:r>
    </w:p>
    <w:bookmarkEnd w:id="140"/>
    <w:bookmarkStart w:name="z207" w:id="141"/>
    <w:p>
      <w:pPr>
        <w:spacing w:after="0"/>
        <w:ind w:left="0"/>
        <w:jc w:val="both"/>
      </w:pPr>
      <w:r>
        <w:rPr>
          <w:rFonts w:ascii="Times New Roman"/>
          <w:b w:val="false"/>
          <w:i w:val="false"/>
          <w:color w:val="000000"/>
          <w:sz w:val="28"/>
        </w:rPr>
        <w:t>
      не менее 6 ПК с подключением к Интернету по локальной сети;</w:t>
      </w:r>
    </w:p>
    <w:bookmarkEnd w:id="141"/>
    <w:bookmarkStart w:name="z208" w:id="142"/>
    <w:p>
      <w:pPr>
        <w:spacing w:after="0"/>
        <w:ind w:left="0"/>
        <w:jc w:val="both"/>
      </w:pPr>
      <w:r>
        <w:rPr>
          <w:rFonts w:ascii="Times New Roman"/>
          <w:b w:val="false"/>
          <w:i w:val="false"/>
          <w:color w:val="000000"/>
          <w:sz w:val="28"/>
        </w:rPr>
        <w:t>
      6 настольных фотокамер на стойке для фотографирования делегатов для бейджей;</w:t>
      </w:r>
    </w:p>
    <w:bookmarkEnd w:id="142"/>
    <w:bookmarkStart w:name="z209" w:id="143"/>
    <w:p>
      <w:pPr>
        <w:spacing w:after="0"/>
        <w:ind w:left="0"/>
        <w:jc w:val="both"/>
      </w:pPr>
      <w:r>
        <w:rPr>
          <w:rFonts w:ascii="Times New Roman"/>
          <w:b w:val="false"/>
          <w:i w:val="false"/>
          <w:color w:val="000000"/>
          <w:sz w:val="28"/>
        </w:rPr>
        <w:t>
      6 принтеров EPSON WF-C5290 или принтеры с аналогичными характеристиками;</w:t>
      </w:r>
    </w:p>
    <w:bookmarkEnd w:id="143"/>
    <w:bookmarkStart w:name="z210" w:id="144"/>
    <w:p>
      <w:pPr>
        <w:spacing w:after="0"/>
        <w:ind w:left="0"/>
        <w:jc w:val="both"/>
      </w:pPr>
      <w:r>
        <w:rPr>
          <w:rFonts w:ascii="Times New Roman"/>
          <w:b w:val="false"/>
          <w:i w:val="false"/>
          <w:color w:val="000000"/>
          <w:sz w:val="28"/>
        </w:rPr>
        <w:t>
      500 штук бумаги для бейджей H8 x W11 см. 250gsm;</w:t>
      </w:r>
    </w:p>
    <w:bookmarkEnd w:id="144"/>
    <w:bookmarkStart w:name="z211" w:id="145"/>
    <w:p>
      <w:pPr>
        <w:spacing w:after="0"/>
        <w:ind w:left="0"/>
        <w:jc w:val="both"/>
      </w:pPr>
      <w:r>
        <w:rPr>
          <w:rFonts w:ascii="Times New Roman"/>
          <w:b w:val="false"/>
          <w:i w:val="false"/>
          <w:color w:val="000000"/>
          <w:sz w:val="28"/>
        </w:rPr>
        <w:t>
      500 штук держателей для бейджей или ремешков;</w:t>
      </w:r>
    </w:p>
    <w:bookmarkEnd w:id="145"/>
    <w:bookmarkStart w:name="z212" w:id="146"/>
    <w:p>
      <w:pPr>
        <w:spacing w:after="0"/>
        <w:ind w:left="0"/>
        <w:jc w:val="both"/>
      </w:pPr>
      <w:r>
        <w:rPr>
          <w:rFonts w:ascii="Times New Roman"/>
          <w:b w:val="false"/>
          <w:i w:val="false"/>
          <w:color w:val="000000"/>
          <w:sz w:val="28"/>
        </w:rPr>
        <w:t>
      6 дыроколов;</w:t>
      </w:r>
    </w:p>
    <w:bookmarkEnd w:id="146"/>
    <w:bookmarkStart w:name="z213" w:id="147"/>
    <w:p>
      <w:pPr>
        <w:spacing w:after="0"/>
        <w:ind w:left="0"/>
        <w:jc w:val="both"/>
      </w:pPr>
      <w:r>
        <w:rPr>
          <w:rFonts w:ascii="Times New Roman"/>
          <w:b w:val="false"/>
          <w:i w:val="false"/>
          <w:color w:val="000000"/>
          <w:sz w:val="28"/>
        </w:rPr>
        <w:t>
      длинный стол размером примерно H70 x W300 см для размещения предварительно напечатанных бейджей с контейнерами для бейджей с буквенными обозначениями от А до Я для разделения предварительно напечатанных бейджей;</w:t>
      </w:r>
    </w:p>
    <w:bookmarkEnd w:id="147"/>
    <w:bookmarkStart w:name="z214" w:id="148"/>
    <w:p>
      <w:pPr>
        <w:spacing w:after="0"/>
        <w:ind w:left="0"/>
        <w:jc w:val="both"/>
      </w:pPr>
      <w:r>
        <w:rPr>
          <w:rFonts w:ascii="Times New Roman"/>
          <w:b w:val="false"/>
          <w:i w:val="false"/>
          <w:color w:val="000000"/>
          <w:sz w:val="28"/>
        </w:rPr>
        <w:t>
      красные канаты и стойки для разделения стойки регистрации на семь рядов;</w:t>
      </w:r>
    </w:p>
    <w:bookmarkEnd w:id="148"/>
    <w:bookmarkStart w:name="z215" w:id="149"/>
    <w:p>
      <w:pPr>
        <w:spacing w:after="0"/>
        <w:ind w:left="0"/>
        <w:jc w:val="both"/>
      </w:pPr>
      <w:r>
        <w:rPr>
          <w:rFonts w:ascii="Times New Roman"/>
          <w:b w:val="false"/>
          <w:i w:val="false"/>
          <w:color w:val="000000"/>
          <w:sz w:val="28"/>
        </w:rPr>
        <w:t>
      таблички перед 3-м рядом с надписью "Государства-члены", перед 2-м рядом с надписью "Заинтересованные стороны" и перед последним рядом с надписью "СМИ, Экспоненты и другие";</w:t>
      </w:r>
    </w:p>
    <w:bookmarkEnd w:id="149"/>
    <w:bookmarkStart w:name="z216" w:id="150"/>
    <w:p>
      <w:pPr>
        <w:spacing w:after="0"/>
        <w:ind w:left="0"/>
        <w:jc w:val="both"/>
      </w:pPr>
      <w:r>
        <w:rPr>
          <w:rFonts w:ascii="Times New Roman"/>
          <w:b w:val="false"/>
          <w:i w:val="false"/>
          <w:color w:val="000000"/>
          <w:sz w:val="28"/>
        </w:rPr>
        <w:t>
      помещение для хранения запасного оборудования и вещей персонала или запирающиеся шкафы за стойкой;</w:t>
      </w:r>
    </w:p>
    <w:bookmarkEnd w:id="150"/>
    <w:bookmarkStart w:name="z217" w:id="151"/>
    <w:p>
      <w:pPr>
        <w:spacing w:after="0"/>
        <w:ind w:left="0"/>
        <w:jc w:val="both"/>
      </w:pPr>
      <w:r>
        <w:rPr>
          <w:rFonts w:ascii="Times New Roman"/>
          <w:b w:val="false"/>
          <w:i w:val="false"/>
          <w:color w:val="000000"/>
          <w:sz w:val="28"/>
        </w:rPr>
        <w:t>
      зона ожидания.</w:t>
      </w:r>
    </w:p>
    <w:bookmarkEnd w:id="151"/>
    <w:bookmarkStart w:name="z218" w:id="152"/>
    <w:p>
      <w:pPr>
        <w:spacing w:after="0"/>
        <w:ind w:left="0"/>
        <w:jc w:val="both"/>
      </w:pPr>
      <w:r>
        <w:rPr>
          <w:rFonts w:ascii="Times New Roman"/>
          <w:b w:val="false"/>
          <w:i w:val="false"/>
          <w:color w:val="000000"/>
          <w:sz w:val="28"/>
        </w:rPr>
        <w:t>
      25. Вышеупомянутые компьютеры, камеры и принтеры для печати бейджей должны быть подключены к регистрационной платформе Организации Объединенных Наций (Indico.UN), которая будет использоваться для предварительной регистрации и аккредитации участников встречи. В целях безопасности во время работы Конференции и других мероприятий необходимо всегда носить на видном месте именной бейдж с фотографией. Более подробная информация о работе регистрационной стойки будет обсуждаться между ЭСКАТО и принимающей страной до окончательного согласования. Это место должно быть доступно за два дня до начала конференции и до ее окончания.</w:t>
      </w:r>
    </w:p>
    <w:bookmarkEnd w:id="152"/>
    <w:bookmarkStart w:name="z219" w:id="153"/>
    <w:p>
      <w:pPr>
        <w:spacing w:after="0"/>
        <w:ind w:left="0"/>
        <w:jc w:val="left"/>
      </w:pPr>
      <w:r>
        <w:rPr>
          <w:rFonts w:ascii="Times New Roman"/>
          <w:b/>
          <w:i w:val="false"/>
          <w:color w:val="000000"/>
        </w:rPr>
        <w:t xml:space="preserve"> I-11. Информационная стойка</w:t>
      </w:r>
    </w:p>
    <w:bookmarkEnd w:id="153"/>
    <w:bookmarkStart w:name="z220" w:id="154"/>
    <w:p>
      <w:pPr>
        <w:spacing w:after="0"/>
        <w:ind w:left="0"/>
        <w:jc w:val="both"/>
      </w:pPr>
      <w:r>
        <w:rPr>
          <w:rFonts w:ascii="Times New Roman"/>
          <w:b w:val="false"/>
          <w:i w:val="false"/>
          <w:color w:val="000000"/>
          <w:sz w:val="28"/>
        </w:rPr>
        <w:t>
      26. Рядом с зоной регистрации должен быть оборудован информационный киоск, где местный обслуживающий персонал будет оказывать делегатам помощь в получении информации о программе, регистрации на посещение объектов, "находок" и т.д. Принимающая сторона должна предоставить следующее оборудование для информационной стойки:</w:t>
      </w:r>
    </w:p>
    <w:bookmarkEnd w:id="154"/>
    <w:bookmarkStart w:name="z221" w:id="155"/>
    <w:p>
      <w:pPr>
        <w:spacing w:after="0"/>
        <w:ind w:left="0"/>
        <w:jc w:val="both"/>
      </w:pPr>
      <w:r>
        <w:rPr>
          <w:rFonts w:ascii="Times New Roman"/>
          <w:b w:val="false"/>
          <w:i w:val="false"/>
          <w:color w:val="000000"/>
          <w:sz w:val="28"/>
        </w:rPr>
        <w:t>
      2 стола стандартного размера со стульями;</w:t>
      </w:r>
    </w:p>
    <w:bookmarkEnd w:id="155"/>
    <w:bookmarkStart w:name="z222" w:id="156"/>
    <w:p>
      <w:pPr>
        <w:spacing w:after="0"/>
        <w:ind w:left="0"/>
        <w:jc w:val="both"/>
      </w:pPr>
      <w:r>
        <w:rPr>
          <w:rFonts w:ascii="Times New Roman"/>
          <w:b w:val="false"/>
          <w:i w:val="false"/>
          <w:color w:val="000000"/>
          <w:sz w:val="28"/>
        </w:rPr>
        <w:t>
      2 запирающихся шкафа для хранения находок;</w:t>
      </w:r>
    </w:p>
    <w:bookmarkEnd w:id="156"/>
    <w:bookmarkStart w:name="z223" w:id="157"/>
    <w:p>
      <w:pPr>
        <w:spacing w:after="0"/>
        <w:ind w:left="0"/>
        <w:jc w:val="both"/>
      </w:pPr>
      <w:r>
        <w:rPr>
          <w:rFonts w:ascii="Times New Roman"/>
          <w:b w:val="false"/>
          <w:i w:val="false"/>
          <w:color w:val="000000"/>
          <w:sz w:val="28"/>
        </w:rPr>
        <w:t>
      1 многофункциональный принтер (МФУ): ксерокс (с устройствами подачи, сортировки и сшивки со скоростью не менее 80 страниц в минуту), принтер (не менее 35 страниц в минуту) и сканер, монохромный и цветной принтер, поддержка беспроводной печати с ноутбуков;</w:t>
      </w:r>
    </w:p>
    <w:bookmarkEnd w:id="157"/>
    <w:bookmarkStart w:name="z224" w:id="158"/>
    <w:p>
      <w:pPr>
        <w:spacing w:after="0"/>
        <w:ind w:left="0"/>
        <w:jc w:val="both"/>
      </w:pPr>
      <w:r>
        <w:rPr>
          <w:rFonts w:ascii="Times New Roman"/>
          <w:b w:val="false"/>
          <w:i w:val="false"/>
          <w:color w:val="000000"/>
          <w:sz w:val="28"/>
        </w:rPr>
        <w:t>
      розетки питания;</w:t>
      </w:r>
    </w:p>
    <w:bookmarkEnd w:id="158"/>
    <w:bookmarkStart w:name="z225" w:id="159"/>
    <w:p>
      <w:pPr>
        <w:spacing w:after="0"/>
        <w:ind w:left="0"/>
        <w:jc w:val="both"/>
      </w:pPr>
      <w:r>
        <w:rPr>
          <w:rFonts w:ascii="Times New Roman"/>
          <w:b w:val="false"/>
          <w:i w:val="false"/>
          <w:color w:val="000000"/>
          <w:sz w:val="28"/>
        </w:rPr>
        <w:t>
      таблички перед стойкой: "Информационная стойка", "Бюро находок", "Посещение сайта".</w:t>
      </w:r>
    </w:p>
    <w:bookmarkEnd w:id="159"/>
    <w:bookmarkStart w:name="z226" w:id="160"/>
    <w:p>
      <w:pPr>
        <w:spacing w:after="0"/>
        <w:ind w:left="0"/>
        <w:jc w:val="both"/>
      </w:pPr>
      <w:r>
        <w:rPr>
          <w:rFonts w:ascii="Times New Roman"/>
          <w:b w:val="false"/>
          <w:i w:val="false"/>
          <w:color w:val="000000"/>
          <w:sz w:val="28"/>
        </w:rPr>
        <w:t>
      27. Это место должно быть доступно за один день до начала конференции и до ее окончания.</w:t>
      </w:r>
    </w:p>
    <w:bookmarkEnd w:id="160"/>
    <w:bookmarkStart w:name="z227" w:id="161"/>
    <w:p>
      <w:pPr>
        <w:spacing w:after="0"/>
        <w:ind w:left="0"/>
        <w:jc w:val="left"/>
      </w:pPr>
      <w:r>
        <w:rPr>
          <w:rFonts w:ascii="Times New Roman"/>
          <w:b/>
          <w:i w:val="false"/>
          <w:color w:val="000000"/>
        </w:rPr>
        <w:t xml:space="preserve"> I-12. Зал для делегатов и рабочая зона</w:t>
      </w:r>
    </w:p>
    <w:bookmarkEnd w:id="161"/>
    <w:bookmarkStart w:name="z228" w:id="162"/>
    <w:p>
      <w:pPr>
        <w:spacing w:after="0"/>
        <w:ind w:left="0"/>
        <w:jc w:val="both"/>
      </w:pPr>
      <w:r>
        <w:rPr>
          <w:rFonts w:ascii="Times New Roman"/>
          <w:b w:val="false"/>
          <w:i w:val="false"/>
          <w:color w:val="000000"/>
          <w:sz w:val="28"/>
        </w:rPr>
        <w:t>
      28. Рядом с конференц-залом должна быть оборудована зона отдыха и работы делегатов с 50-80 комплектами столов и стульев, 30-50 розетками и доступным Wi-Fi для использования делегатами в течение пяти дней работы конференции. Эта зона должна быть доступна за один день до начала Конференции и до ее окончания.</w:t>
      </w:r>
    </w:p>
    <w:bookmarkEnd w:id="162"/>
    <w:bookmarkStart w:name="z229" w:id="163"/>
    <w:p>
      <w:pPr>
        <w:spacing w:after="0"/>
        <w:ind w:left="0"/>
        <w:jc w:val="both"/>
      </w:pPr>
      <w:r>
        <w:rPr>
          <w:rFonts w:ascii="Times New Roman"/>
          <w:b w:val="false"/>
          <w:i w:val="false"/>
          <w:color w:val="000000"/>
          <w:sz w:val="28"/>
        </w:rPr>
        <w:t>
      29. Доступные объекты и услуги должны быть инклюзивными для людей с ограниченными возможностями. На рассмотрение принимающей стороны предлагаются следующие виды вспомогательных устройств, предметов и информации в доступных форматах:</w:t>
      </w:r>
    </w:p>
    <w:bookmarkEnd w:id="163"/>
    <w:bookmarkStart w:name="z230" w:id="164"/>
    <w:p>
      <w:pPr>
        <w:spacing w:after="0"/>
        <w:ind w:left="0"/>
        <w:jc w:val="both"/>
      </w:pPr>
      <w:r>
        <w:rPr>
          <w:rFonts w:ascii="Times New Roman"/>
          <w:b w:val="false"/>
          <w:i w:val="false"/>
          <w:color w:val="000000"/>
          <w:sz w:val="28"/>
        </w:rPr>
        <w:t>
      ручные и моторизованные инвалидные кресла;</w:t>
      </w:r>
    </w:p>
    <w:bookmarkEnd w:id="164"/>
    <w:bookmarkStart w:name="z231" w:id="165"/>
    <w:p>
      <w:pPr>
        <w:spacing w:after="0"/>
        <w:ind w:left="0"/>
        <w:jc w:val="both"/>
      </w:pPr>
      <w:r>
        <w:rPr>
          <w:rFonts w:ascii="Times New Roman"/>
          <w:b w:val="false"/>
          <w:i w:val="false"/>
          <w:color w:val="000000"/>
          <w:sz w:val="28"/>
        </w:rPr>
        <w:t>
      принтеры со шрифтом Брайля для английского и одного из официальных языков принимающей страны;</w:t>
      </w:r>
    </w:p>
    <w:bookmarkEnd w:id="165"/>
    <w:bookmarkStart w:name="z232" w:id="166"/>
    <w:p>
      <w:pPr>
        <w:spacing w:after="0"/>
        <w:ind w:left="0"/>
        <w:jc w:val="both"/>
      </w:pPr>
      <w:r>
        <w:rPr>
          <w:rFonts w:ascii="Times New Roman"/>
          <w:b w:val="false"/>
          <w:i w:val="false"/>
          <w:color w:val="000000"/>
          <w:sz w:val="28"/>
        </w:rPr>
        <w:t>
      компьютеры с установленным программным обеспечением для преобразования текста в речь/речевой текст;</w:t>
      </w:r>
    </w:p>
    <w:bookmarkEnd w:id="166"/>
    <w:bookmarkStart w:name="z233" w:id="167"/>
    <w:p>
      <w:pPr>
        <w:spacing w:after="0"/>
        <w:ind w:left="0"/>
        <w:jc w:val="both"/>
      </w:pPr>
      <w:r>
        <w:rPr>
          <w:rFonts w:ascii="Times New Roman"/>
          <w:b w:val="false"/>
          <w:i w:val="false"/>
          <w:color w:val="000000"/>
          <w:sz w:val="28"/>
        </w:rPr>
        <w:t>
      белые трости;</w:t>
      </w:r>
    </w:p>
    <w:bookmarkEnd w:id="167"/>
    <w:bookmarkStart w:name="z234" w:id="168"/>
    <w:p>
      <w:pPr>
        <w:spacing w:after="0"/>
        <w:ind w:left="0"/>
        <w:jc w:val="both"/>
      </w:pPr>
      <w:r>
        <w:rPr>
          <w:rFonts w:ascii="Times New Roman"/>
          <w:b w:val="false"/>
          <w:i w:val="false"/>
          <w:color w:val="000000"/>
          <w:sz w:val="28"/>
        </w:rPr>
        <w:t>
      зарядные станции для инвалидных колясок;</w:t>
      </w:r>
    </w:p>
    <w:bookmarkEnd w:id="168"/>
    <w:bookmarkStart w:name="z235" w:id="169"/>
    <w:p>
      <w:pPr>
        <w:spacing w:after="0"/>
        <w:ind w:left="0"/>
        <w:jc w:val="both"/>
      </w:pPr>
      <w:r>
        <w:rPr>
          <w:rFonts w:ascii="Times New Roman"/>
          <w:b w:val="false"/>
          <w:i w:val="false"/>
          <w:color w:val="000000"/>
          <w:sz w:val="28"/>
        </w:rPr>
        <w:t>
      плакаты, общественная информация и вывески в понятных и доступных форматах;</w:t>
      </w:r>
    </w:p>
    <w:bookmarkEnd w:id="169"/>
    <w:bookmarkStart w:name="z236" w:id="170"/>
    <w:p>
      <w:pPr>
        <w:spacing w:after="0"/>
        <w:ind w:left="0"/>
        <w:jc w:val="both"/>
      </w:pPr>
      <w:r>
        <w:rPr>
          <w:rFonts w:ascii="Times New Roman"/>
          <w:b w:val="false"/>
          <w:i w:val="false"/>
          <w:color w:val="000000"/>
          <w:sz w:val="28"/>
        </w:rPr>
        <w:t>
      мебель подвижная и легко переставляемая с учетом потребностей инвалидов в доступности; и</w:t>
      </w:r>
    </w:p>
    <w:bookmarkEnd w:id="170"/>
    <w:bookmarkStart w:name="z237" w:id="171"/>
    <w:p>
      <w:pPr>
        <w:spacing w:after="0"/>
        <w:ind w:left="0"/>
        <w:jc w:val="both"/>
      </w:pPr>
      <w:r>
        <w:rPr>
          <w:rFonts w:ascii="Times New Roman"/>
          <w:b w:val="false"/>
          <w:i w:val="false"/>
          <w:color w:val="000000"/>
          <w:sz w:val="28"/>
        </w:rPr>
        <w:t>
      другие устройства, которые могут быть сочтены необходимыми принимающей стороной.</w:t>
      </w:r>
    </w:p>
    <w:bookmarkEnd w:id="171"/>
    <w:bookmarkStart w:name="z238" w:id="172"/>
    <w:p>
      <w:pPr>
        <w:spacing w:after="0"/>
        <w:ind w:left="0"/>
        <w:jc w:val="left"/>
      </w:pPr>
      <w:r>
        <w:rPr>
          <w:rFonts w:ascii="Times New Roman"/>
          <w:b/>
          <w:i w:val="false"/>
          <w:color w:val="000000"/>
        </w:rPr>
        <w:t xml:space="preserve"> I-13. Зал для переводчиков</w:t>
      </w:r>
    </w:p>
    <w:bookmarkEnd w:id="172"/>
    <w:bookmarkStart w:name="z239" w:id="173"/>
    <w:p>
      <w:pPr>
        <w:spacing w:after="0"/>
        <w:ind w:left="0"/>
        <w:jc w:val="both"/>
      </w:pPr>
      <w:r>
        <w:rPr>
          <w:rFonts w:ascii="Times New Roman"/>
          <w:b w:val="false"/>
          <w:i w:val="false"/>
          <w:color w:val="000000"/>
          <w:sz w:val="28"/>
        </w:rPr>
        <w:t>
      30. Должна быть оборудована зона отдыха с 10 местами для переводчиков. Во время заседания в комнате отдыха и кабинах устного перевода должна быть обеспечена питьевая вода. Эта зона должна быть доступна в течение трех дней работы конференции.</w:t>
      </w:r>
    </w:p>
    <w:bookmarkEnd w:id="173"/>
    <w:bookmarkStart w:name="z240" w:id="174"/>
    <w:p>
      <w:pPr>
        <w:spacing w:after="0"/>
        <w:ind w:left="0"/>
        <w:jc w:val="left"/>
      </w:pPr>
      <w:r>
        <w:rPr>
          <w:rFonts w:ascii="Times New Roman"/>
          <w:b/>
          <w:i w:val="false"/>
          <w:color w:val="000000"/>
        </w:rPr>
        <w:t xml:space="preserve"> I-14. Молельная комната</w:t>
      </w:r>
    </w:p>
    <w:bookmarkEnd w:id="174"/>
    <w:bookmarkStart w:name="z241" w:id="175"/>
    <w:p>
      <w:pPr>
        <w:spacing w:after="0"/>
        <w:ind w:left="0"/>
        <w:jc w:val="both"/>
      </w:pPr>
      <w:r>
        <w:rPr>
          <w:rFonts w:ascii="Times New Roman"/>
          <w:b w:val="false"/>
          <w:i w:val="false"/>
          <w:color w:val="000000"/>
          <w:sz w:val="28"/>
        </w:rPr>
        <w:t>
      31. Рядом с конференц-залом должна быть оборудована молельная комната, расположенная рядом с туалетом. Эта комната должна быть доступна за один день до начала конференции и до ее окончания.</w:t>
      </w:r>
    </w:p>
    <w:bookmarkEnd w:id="175"/>
    <w:bookmarkStart w:name="z242" w:id="176"/>
    <w:p>
      <w:pPr>
        <w:spacing w:after="0"/>
        <w:ind w:left="0"/>
        <w:jc w:val="left"/>
      </w:pPr>
      <w:r>
        <w:rPr>
          <w:rFonts w:ascii="Times New Roman"/>
          <w:b/>
          <w:i w:val="false"/>
          <w:color w:val="000000"/>
        </w:rPr>
        <w:t xml:space="preserve"> II. Офисы Секретариата ЭСКАТО</w:t>
      </w:r>
    </w:p>
    <w:bookmarkEnd w:id="176"/>
    <w:bookmarkStart w:name="z243" w:id="177"/>
    <w:p>
      <w:pPr>
        <w:spacing w:after="0"/>
        <w:ind w:left="0"/>
        <w:jc w:val="both"/>
      </w:pPr>
      <w:r>
        <w:rPr>
          <w:rFonts w:ascii="Times New Roman"/>
          <w:b w:val="false"/>
          <w:i w:val="false"/>
          <w:color w:val="000000"/>
          <w:sz w:val="28"/>
        </w:rPr>
        <w:t>
      32. Указанные ниже помещения должны быть доступны за два дня до начала конференции и до ее окончания, за исключением одного помещения, закрепленного за Административным отделом, которое должно быть доступно в течение одного дня после окончания конференции. После подтверждения места проведения конференции ЭСКАТО предоставит схемы помещений и необходимое оборудование.</w:t>
      </w:r>
    </w:p>
    <w:bookmarkEnd w:id="177"/>
    <w:bookmarkStart w:name="z244" w:id="17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E. Требования к офисам Секретариата ЭСКАТО</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Офис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Требуемое кол-во комнат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Детали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ICTSTI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оборудованное офисной мебелью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секретарь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оборудованное офисной мебелью, ноутбуком с цветным принтером (EPSON WF- C5290 или эквивалент) и диваном, рассчитанным на обслуживание не менее 8 человек для проведения двусторонней встречи не менее 8 человек для проведения двусторонней встречи.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Канцелярия Исполнительного Секретаря (КИС) и Секция коммуникаций и управления знаниями (СКУЗ)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4 рабочими столами и стульями с двумя перегородками, многофункциональным принтером и запирающимся шкафом.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9"/>
          <w:p>
            <w:pPr>
              <w:spacing w:after="20"/>
              <w:ind w:left="20"/>
              <w:jc w:val="both"/>
            </w:pPr>
            <w:r>
              <w:rPr>
                <w:rFonts w:ascii="Times New Roman"/>
                <w:b w:val="false"/>
                <w:i w:val="false"/>
                <w:color w:val="000000"/>
                <w:sz w:val="20"/>
              </w:rPr>
              <w:t>
Административный отдел, включая Секцию конференций и общего обслуживания</w:t>
            </w:r>
          </w:p>
          <w:bookmarkEnd w:id="179"/>
          <w:p>
            <w:pPr>
              <w:spacing w:after="20"/>
              <w:ind w:left="20"/>
              <w:jc w:val="both"/>
            </w:pPr>
            <w:r>
              <w:rPr>
                <w:rFonts w:ascii="Times New Roman"/>
                <w:b w:val="false"/>
                <w:i w:val="false"/>
                <w:color w:val="000000"/>
                <w:sz w:val="20"/>
              </w:rPr>
              <w:t>
(СКОО)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12 рабочими столами и стульями с 2 перегородками, многофункциональным принтером и запирающимся шкафом.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обслуживания конференций и документации (СОКД)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10 рабочими столами и стульями с 4 разделенными перегородками места, многофункциональный принтер и запираемый шкаф.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Содержательные разделы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10 рабочими столами и стульями, многофункциональным принтером и закрывающимся шкафом.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службы безопасности Организации Объединенных Наций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с 2 рабочими столами и стульями</w:t>
            </w:r>
          </w:p>
        </w:tc>
      </w:tr>
    </w:tbl>
    <w:bookmarkStart w:name="z246" w:id="180"/>
    <w:p>
      <w:pPr>
        <w:spacing w:after="0"/>
        <w:ind w:left="0"/>
        <w:jc w:val="left"/>
      </w:pPr>
      <w:r>
        <w:rPr>
          <w:rFonts w:ascii="Times New Roman"/>
          <w:b/>
          <w:i w:val="false"/>
          <w:color w:val="000000"/>
        </w:rPr>
        <w:t xml:space="preserve"> III. Дополнительное оборудование и расходные материалы, которые необходимо рассмотреть</w:t>
      </w:r>
    </w:p>
    <w:bookmarkEnd w:id="180"/>
    <w:bookmarkStart w:name="z247" w:id="181"/>
    <w:p>
      <w:pPr>
        <w:spacing w:after="0"/>
        <w:ind w:left="0"/>
        <w:jc w:val="both"/>
      </w:pPr>
      <w:r>
        <w:rPr>
          <w:rFonts w:ascii="Times New Roman"/>
          <w:b w:val="false"/>
          <w:i w:val="false"/>
          <w:color w:val="000000"/>
          <w:sz w:val="28"/>
        </w:rPr>
        <w:t>
      33. Следующее оборудование и материалы, которые могут быть не включены в вышеуказанный пункт, должны быть доступны за два дня до начала конференции и до ее окончания. Спецификации будут предоставлены после заключения контракта. Панели управления оборудованием и многофункциональными принтерами должны быть на английском языке. Все ПК и ноутбуки будут иметь выход в Интернет и подключаться к общим принтерам. Операционная система ПК/ноутбуков и установленный Microsoft Office должны быть на английском языке.</w:t>
      </w:r>
    </w:p>
    <w:bookmarkEnd w:id="181"/>
    <w:bookmarkStart w:name="z248" w:id="182"/>
    <w:p>
      <w:pPr>
        <w:spacing w:after="0"/>
        <w:ind w:left="0"/>
        <w:jc w:val="left"/>
      </w:pPr>
      <w:r>
        <w:rPr>
          <w:rFonts w:ascii="Times New Roman"/>
          <w:b/>
          <w:i w:val="false"/>
          <w:color w:val="000000"/>
        </w:rPr>
        <w:t xml:space="preserve"> III-1. Интернет соединение</w:t>
      </w:r>
    </w:p>
    <w:bookmarkEnd w:id="182"/>
    <w:bookmarkStart w:name="z249" w:id="183"/>
    <w:p>
      <w:pPr>
        <w:spacing w:after="0"/>
        <w:ind w:left="0"/>
        <w:jc w:val="both"/>
      </w:pPr>
      <w:r>
        <w:rPr>
          <w:rFonts w:ascii="Times New Roman"/>
          <w:b w:val="false"/>
          <w:i w:val="false"/>
          <w:color w:val="000000"/>
          <w:sz w:val="28"/>
        </w:rPr>
        <w:t>
      34. Место проведения конференции должно быть подключено к двум интернет-каналам - первичному и вторичному с автоматическим переключением на отказоустойчивость. Пропускная способность каждого канала должна составлять не менее 200 Мбит/с (загрузка/выгрузка), при этом 200 Мбит/с (Burstable) пропускной способности Интернета должны быть зарезервированы и приоритезированы для целей поддержки конференции, таких как использование сотрудниками ЭСКАТО, счетчики регистрации и соединения Zoom, а оставшаяся пропускная способность - для публичных соединений Wi-Fi.</w:t>
      </w:r>
    </w:p>
    <w:bookmarkEnd w:id="183"/>
    <w:bookmarkStart w:name="z250" w:id="184"/>
    <w:p>
      <w:pPr>
        <w:spacing w:after="0"/>
        <w:ind w:left="0"/>
        <w:jc w:val="both"/>
      </w:pPr>
      <w:r>
        <w:rPr>
          <w:rFonts w:ascii="Times New Roman"/>
          <w:b w:val="false"/>
          <w:i w:val="false"/>
          <w:color w:val="000000"/>
          <w:sz w:val="28"/>
        </w:rPr>
        <w:t>
      35. Все переговорные комнаты и офисы должны быть оборудованы достаточным количеством Wi-Fi или локальных сетей для доступа в Интернет без фильтрации; оценка количества Wi-Fi подключений в каждом ключевом месте приведена в таблице ниже.</w:t>
      </w:r>
    </w:p>
    <w:bookmarkEnd w:id="184"/>
    <w:bookmarkStart w:name="z251" w:id="185"/>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F. Требования к подключению к Интернету</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6"/>
          <w:p>
            <w:pPr>
              <w:spacing w:after="20"/>
              <w:ind w:left="20"/>
              <w:jc w:val="both"/>
            </w:pPr>
            <w:r>
              <w:rPr>
                <w:rFonts w:ascii="Times New Roman"/>
                <w:b w:val="false"/>
                <w:i w:val="false"/>
                <w:color w:val="000000"/>
                <w:sz w:val="20"/>
              </w:rPr>
              <w:t>
Одновременное подключение</w:t>
            </w:r>
          </w:p>
          <w:bookmarkEnd w:id="186"/>
          <w:p>
            <w:pPr>
              <w:spacing w:after="20"/>
              <w:ind w:left="20"/>
              <w:jc w:val="both"/>
            </w:pPr>
            <w:r>
              <w:rPr>
                <w:rFonts w:ascii="Times New Roman"/>
                <w:b w:val="false"/>
                <w:i w:val="false"/>
                <w:color w:val="000000"/>
                <w:sz w:val="20"/>
              </w:rPr>
              <w:t>
к Wi-Fi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Пленарный зал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Конференц-залы для проведения специальных/сторонних мероприятий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для консультаций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Медиа-комната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ресепшн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 лаундж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для делегатов и рабочая зона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53" w:id="187"/>
    <w:p>
      <w:pPr>
        <w:spacing w:after="0"/>
        <w:ind w:left="0"/>
        <w:jc w:val="left"/>
      </w:pPr>
      <w:r>
        <w:rPr>
          <w:rFonts w:ascii="Times New Roman"/>
          <w:b/>
          <w:i w:val="false"/>
          <w:color w:val="000000"/>
        </w:rPr>
        <w:t xml:space="preserve"> III-2. Электричество</w:t>
      </w:r>
    </w:p>
    <w:bookmarkEnd w:id="187"/>
    <w:bookmarkStart w:name="z254" w:id="188"/>
    <w:p>
      <w:pPr>
        <w:spacing w:after="0"/>
        <w:ind w:left="0"/>
        <w:jc w:val="both"/>
      </w:pPr>
      <w:r>
        <w:rPr>
          <w:rFonts w:ascii="Times New Roman"/>
          <w:b w:val="false"/>
          <w:i w:val="false"/>
          <w:color w:val="000000"/>
          <w:sz w:val="28"/>
        </w:rPr>
        <w:t>
      36. На трибуне и на столах делегатов должны быть предусмотрены розетки. Учитывая, что оборудование ЭСКАТО работает от таиландского стандарта 230 В, 50 Гц, везде, где это необходимо, должны быть предусмотрены соответствующие адаптеры напряжения (повышающие трансформаторы).</w:t>
      </w:r>
    </w:p>
    <w:bookmarkEnd w:id="188"/>
    <w:bookmarkStart w:name="z255" w:id="189"/>
    <w:p>
      <w:pPr>
        <w:spacing w:after="0"/>
        <w:ind w:left="0"/>
        <w:jc w:val="left"/>
      </w:pPr>
      <w:r>
        <w:rPr>
          <w:rFonts w:ascii="Times New Roman"/>
          <w:b/>
          <w:i w:val="false"/>
          <w:color w:val="000000"/>
        </w:rPr>
        <w:t xml:space="preserve"> III-3. Канцелярские товары</w:t>
      </w:r>
    </w:p>
    <w:bookmarkEnd w:id="189"/>
    <w:bookmarkStart w:name="z256" w:id="190"/>
    <w:p>
      <w:pPr>
        <w:spacing w:after="0"/>
        <w:ind w:left="0"/>
        <w:jc w:val="both"/>
      </w:pPr>
      <w:r>
        <w:rPr>
          <w:rFonts w:ascii="Times New Roman"/>
          <w:b w:val="false"/>
          <w:i w:val="false"/>
          <w:color w:val="000000"/>
          <w:sz w:val="28"/>
        </w:rPr>
        <w:t>
      37. Принимающая страна должна предоставить канцелярские и другие необходимые офисные принадлежности, включая бумагу для размножения документов. ЭСКАТО предоставит принимающей стране список канцелярских принадлежностей до завершения договоренностей.</w:t>
      </w:r>
    </w:p>
    <w:bookmarkEnd w:id="190"/>
    <w:bookmarkStart w:name="z257" w:id="191"/>
    <w:p>
      <w:pPr>
        <w:spacing w:after="0"/>
        <w:ind w:left="0"/>
        <w:jc w:val="left"/>
      </w:pPr>
      <w:r>
        <w:rPr>
          <w:rFonts w:ascii="Times New Roman"/>
          <w:b/>
          <w:i w:val="false"/>
          <w:color w:val="000000"/>
        </w:rPr>
        <w:t xml:space="preserve"> III-4. Рекламные материалы</w:t>
      </w:r>
    </w:p>
    <w:bookmarkEnd w:id="191"/>
    <w:bookmarkStart w:name="z258" w:id="192"/>
    <w:p>
      <w:pPr>
        <w:spacing w:after="0"/>
        <w:ind w:left="0"/>
        <w:jc w:val="both"/>
      </w:pPr>
      <w:r>
        <w:rPr>
          <w:rFonts w:ascii="Times New Roman"/>
          <w:b w:val="false"/>
          <w:i w:val="false"/>
          <w:color w:val="000000"/>
          <w:sz w:val="28"/>
        </w:rPr>
        <w:t>
      38. Принимающая страна должна предоставить необходимые рекламные материалы, такие как задники, баннеры, рекламные щиты или другие, отражающие название конференции. ЭСКАТО предоставляет принимающей стране файлы с дизайном.</w:t>
      </w:r>
    </w:p>
    <w:bookmarkEnd w:id="192"/>
    <w:bookmarkStart w:name="z259" w:id="193"/>
    <w:p>
      <w:pPr>
        <w:spacing w:after="0"/>
        <w:ind w:left="0"/>
        <w:jc w:val="left"/>
      </w:pPr>
      <w:r>
        <w:rPr>
          <w:rFonts w:ascii="Times New Roman"/>
          <w:b/>
          <w:i w:val="false"/>
          <w:color w:val="000000"/>
        </w:rPr>
        <w:t xml:space="preserve"> III-5. Тележки</w:t>
      </w:r>
    </w:p>
    <w:bookmarkEnd w:id="193"/>
    <w:bookmarkStart w:name="z260" w:id="194"/>
    <w:p>
      <w:pPr>
        <w:spacing w:after="0"/>
        <w:ind w:left="0"/>
        <w:jc w:val="both"/>
      </w:pPr>
      <w:r>
        <w:rPr>
          <w:rFonts w:ascii="Times New Roman"/>
          <w:b w:val="false"/>
          <w:i w:val="false"/>
          <w:color w:val="000000"/>
          <w:sz w:val="28"/>
        </w:rPr>
        <w:t>
      39. Страна-организатор должна предоставить три тележки с плоской платформой для перемещения оборудования и коробок между различными помещениями в месте проведения конференции.</w:t>
      </w:r>
    </w:p>
    <w:bookmarkEnd w:id="194"/>
    <w:bookmarkStart w:name="z261" w:id="195"/>
    <w:p>
      <w:pPr>
        <w:spacing w:after="0"/>
        <w:ind w:left="0"/>
        <w:jc w:val="left"/>
      </w:pPr>
      <w:r>
        <w:rPr>
          <w:rFonts w:ascii="Times New Roman"/>
          <w:b/>
          <w:i w:val="false"/>
          <w:color w:val="000000"/>
        </w:rPr>
        <w:t xml:space="preserve"> IV. Ресепшн в аэропорту</w:t>
      </w:r>
    </w:p>
    <w:bookmarkEnd w:id="195"/>
    <w:bookmarkStart w:name="z262" w:id="196"/>
    <w:p>
      <w:pPr>
        <w:spacing w:after="0"/>
        <w:ind w:left="0"/>
        <w:jc w:val="both"/>
      </w:pPr>
      <w:r>
        <w:rPr>
          <w:rFonts w:ascii="Times New Roman"/>
          <w:b w:val="false"/>
          <w:i w:val="false"/>
          <w:color w:val="000000"/>
          <w:sz w:val="28"/>
        </w:rPr>
        <w:t>
      40. Для облегчения прохождения иммиграционных и таможенных формальностей всеми делегатами и сотрудниками секретариата ЭСКАТО по прибытии в аэропорт за два дня до начала конференции будет организована специальная стойка для оказания им помощи в прохождении формальностей в аэропорту. Принимающая страна несет ответственность за обеспечение протокольного обслуживания во время проведения конференции.</w:t>
      </w:r>
    </w:p>
    <w:bookmarkEnd w:id="196"/>
    <w:bookmarkStart w:name="z263" w:id="197"/>
    <w:p>
      <w:pPr>
        <w:spacing w:after="0"/>
        <w:ind w:left="0"/>
        <w:jc w:val="left"/>
      </w:pPr>
      <w:r>
        <w:rPr>
          <w:rFonts w:ascii="Times New Roman"/>
          <w:b/>
          <w:i w:val="false"/>
          <w:color w:val="000000"/>
        </w:rPr>
        <w:t xml:space="preserve"> V. Транспорт</w:t>
      </w:r>
    </w:p>
    <w:bookmarkEnd w:id="197"/>
    <w:bookmarkStart w:name="z264" w:id="198"/>
    <w:p>
      <w:pPr>
        <w:spacing w:after="0"/>
        <w:ind w:left="0"/>
        <w:jc w:val="both"/>
      </w:pPr>
      <w:r>
        <w:rPr>
          <w:rFonts w:ascii="Times New Roman"/>
          <w:b w:val="false"/>
          <w:i w:val="false"/>
          <w:color w:val="000000"/>
          <w:sz w:val="28"/>
        </w:rPr>
        <w:t>
      41. Для официального использования главными должностными лицами и секретариатом Конференции предоставляются следующие автомобили с водителями:</w:t>
      </w:r>
    </w:p>
    <w:bookmarkEnd w:id="198"/>
    <w:bookmarkStart w:name="z265" w:id="199"/>
    <w:p>
      <w:pPr>
        <w:spacing w:after="0"/>
        <w:ind w:left="0"/>
        <w:jc w:val="both"/>
      </w:pPr>
      <w:r>
        <w:rPr>
          <w:rFonts w:ascii="Times New Roman"/>
          <w:b w:val="false"/>
          <w:i w:val="false"/>
          <w:color w:val="000000"/>
          <w:sz w:val="28"/>
        </w:rPr>
        <w:t>
      1 седан для исполнительного секретаря (2 дня до / 1 день после);</w:t>
      </w:r>
    </w:p>
    <w:bookmarkEnd w:id="199"/>
    <w:bookmarkStart w:name="z266" w:id="200"/>
    <w:p>
      <w:pPr>
        <w:spacing w:after="0"/>
        <w:ind w:left="0"/>
        <w:jc w:val="both"/>
      </w:pPr>
      <w:r>
        <w:rPr>
          <w:rFonts w:ascii="Times New Roman"/>
          <w:b w:val="false"/>
          <w:i w:val="false"/>
          <w:color w:val="000000"/>
          <w:sz w:val="28"/>
        </w:rPr>
        <w:t>
      1 седан для председателя конференции (1 день до / 1 день после);</w:t>
      </w:r>
    </w:p>
    <w:bookmarkEnd w:id="200"/>
    <w:bookmarkStart w:name="z267" w:id="201"/>
    <w:p>
      <w:pPr>
        <w:spacing w:after="0"/>
        <w:ind w:left="0"/>
        <w:jc w:val="both"/>
      </w:pPr>
      <w:r>
        <w:rPr>
          <w:rFonts w:ascii="Times New Roman"/>
          <w:b w:val="false"/>
          <w:i w:val="false"/>
          <w:color w:val="000000"/>
          <w:sz w:val="28"/>
        </w:rPr>
        <w:t>
      1 микроавтобус (12 мест) для секретариата конференции (4 дня до / 1 день после);</w:t>
      </w:r>
    </w:p>
    <w:bookmarkEnd w:id="201"/>
    <w:bookmarkStart w:name="z268" w:id="202"/>
    <w:p>
      <w:pPr>
        <w:spacing w:after="0"/>
        <w:ind w:left="0"/>
        <w:jc w:val="both"/>
      </w:pPr>
      <w:r>
        <w:rPr>
          <w:rFonts w:ascii="Times New Roman"/>
          <w:b w:val="false"/>
          <w:i w:val="false"/>
          <w:color w:val="000000"/>
          <w:sz w:val="28"/>
        </w:rPr>
        <w:t>
      1 микроавтобус (на 25 мест) для секретариата конференции (3 дня до / 1 день после);</w:t>
      </w:r>
    </w:p>
    <w:bookmarkEnd w:id="202"/>
    <w:bookmarkStart w:name="z269" w:id="203"/>
    <w:p>
      <w:pPr>
        <w:spacing w:after="0"/>
        <w:ind w:left="0"/>
        <w:jc w:val="both"/>
      </w:pPr>
      <w:r>
        <w:rPr>
          <w:rFonts w:ascii="Times New Roman"/>
          <w:b w:val="false"/>
          <w:i w:val="false"/>
          <w:color w:val="000000"/>
          <w:sz w:val="28"/>
        </w:rPr>
        <w:t>
      транспортные средства для обеспечения трансфера делегатов между рекомендованными гостиницами и местом проведения конференции (за 1 день до / до окончания конференции).</w:t>
      </w:r>
    </w:p>
    <w:bookmarkEnd w:id="203"/>
    <w:bookmarkStart w:name="z270" w:id="204"/>
    <w:p>
      <w:pPr>
        <w:spacing w:after="0"/>
        <w:ind w:left="0"/>
        <w:jc w:val="both"/>
      </w:pPr>
      <w:r>
        <w:rPr>
          <w:rFonts w:ascii="Times New Roman"/>
          <w:b w:val="false"/>
          <w:i w:val="false"/>
          <w:color w:val="000000"/>
          <w:sz w:val="28"/>
        </w:rPr>
        <w:t>
      42. Вышеуказанные автомобили должны быть предоставлены в распоряжение соответствующих официальных лиц/представительств с момента их прибытия и до момента их отъезда, включая предварительную и итоговую группы. Детали корректируются в зависимости от расположения места проведения конференции и мест проживания сотрудников/делегатов.</w:t>
      </w:r>
    </w:p>
    <w:bookmarkEnd w:id="204"/>
    <w:bookmarkStart w:name="z271" w:id="205"/>
    <w:p>
      <w:pPr>
        <w:spacing w:after="0"/>
        <w:ind w:left="0"/>
        <w:jc w:val="both"/>
      </w:pPr>
      <w:r>
        <w:rPr>
          <w:rFonts w:ascii="Times New Roman"/>
          <w:b w:val="false"/>
          <w:i w:val="false"/>
          <w:color w:val="000000"/>
          <w:sz w:val="28"/>
        </w:rPr>
        <w:t>
      43. В отношении глав делегаций или делегатов на уровне министров должны быть приняты специальные положения в соответствии с преобладающей практикой принимающей страны.</w:t>
      </w:r>
    </w:p>
    <w:bookmarkEnd w:id="205"/>
    <w:bookmarkStart w:name="z272" w:id="206"/>
    <w:p>
      <w:pPr>
        <w:spacing w:after="0"/>
        <w:ind w:left="0"/>
        <w:jc w:val="left"/>
      </w:pPr>
      <w:r>
        <w:rPr>
          <w:rFonts w:ascii="Times New Roman"/>
          <w:b/>
          <w:i w:val="false"/>
          <w:color w:val="000000"/>
        </w:rPr>
        <w:t xml:space="preserve"> VI. Местный персонал</w:t>
      </w:r>
    </w:p>
    <w:bookmarkEnd w:id="206"/>
    <w:bookmarkStart w:name="z273" w:id="207"/>
    <w:p>
      <w:pPr>
        <w:spacing w:after="0"/>
        <w:ind w:left="0"/>
        <w:jc w:val="both"/>
      </w:pPr>
      <w:r>
        <w:rPr>
          <w:rFonts w:ascii="Times New Roman"/>
          <w:b w:val="false"/>
          <w:i w:val="false"/>
          <w:color w:val="000000"/>
          <w:sz w:val="28"/>
        </w:rPr>
        <w:t>
      44. Принимающая страна должна предоставить следующий местный персонал для совместной работы с Секретариатом ЭСКАТО по обслуживанию Конференции. Должностные инструкции будут предоставлены принимающей стране.</w:t>
      </w:r>
    </w:p>
    <w:bookmarkEnd w:id="207"/>
    <w:bookmarkStart w:name="z274" w:id="208"/>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G. Требования к местному персоналу</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Требования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Ассистенты конференций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Помощники по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Помощники логиста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Аудиовизуальные техники (профессиональная команда)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работе с клиентами (свободное владение английским языком)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управления освещением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коммутации видео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Воспроизведение видео, презентация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микширования звука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проведения совещаний в формате Zoom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системы ССП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аудиовизуальной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администратор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 Опыт работы с проектами компьютерных сетей, развертывания и устранения неисправностей LAN/Wi-Fi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ИТ-поддержки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 Опыт работы с аппаратным и программным обеспечением ПК/ноутбуков по устранению неисправностей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Помощники офисных/операционных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 Знание программ Microsoft 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Помощники по работе с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Свободное владение английским языком с опытом работы с многофункциональными принтерами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275" w:id="209"/>
    <w:p>
      <w:pPr>
        <w:spacing w:after="0"/>
        <w:ind w:left="0"/>
        <w:jc w:val="both"/>
      </w:pPr>
      <w:r>
        <w:rPr>
          <w:rFonts w:ascii="Times New Roman"/>
          <w:b w:val="false"/>
          <w:i w:val="false"/>
          <w:color w:val="000000"/>
          <w:sz w:val="28"/>
        </w:rPr>
        <w:t>
      45. Кроме того, принимающая страна должна предоставить официального фотографа, персонал по обслуживанию помещений/оборудования, медицинский персонал, сотрудников службы безопасности и разнорабочих для оказания помощи в организации Конференции. Они должны уметь общаться на базовом английском языке и/или им должна быть оказана помощь переводчиков.</w:t>
      </w:r>
    </w:p>
    <w:bookmarkEnd w:id="209"/>
    <w:bookmarkStart w:name="z276" w:id="210"/>
    <w:p>
      <w:pPr>
        <w:spacing w:after="0"/>
        <w:ind w:left="0"/>
        <w:jc w:val="both"/>
      </w:pPr>
      <w:r>
        <w:rPr>
          <w:rFonts w:ascii="Times New Roman"/>
          <w:b w:val="false"/>
          <w:i w:val="false"/>
          <w:color w:val="000000"/>
          <w:sz w:val="28"/>
        </w:rPr>
        <w:t>
      46. Подробные описания должностных обязанностей будут предоставлены Секретариатом до окончательного согласования. Все местные сотрудники должны быть готовы к работе за ДВА дня до начала Конференции и до ее окончания.</w:t>
      </w:r>
    </w:p>
    <w:bookmarkEnd w:id="210"/>
    <w:bookmarkStart w:name="z277" w:id="211"/>
    <w:p>
      <w:pPr>
        <w:spacing w:after="0"/>
        <w:ind w:left="0"/>
        <w:jc w:val="left"/>
      </w:pPr>
      <w:r>
        <w:rPr>
          <w:rFonts w:ascii="Times New Roman"/>
          <w:b/>
          <w:i w:val="false"/>
          <w:color w:val="000000"/>
        </w:rPr>
        <w:t xml:space="preserve"> </w:t>
      </w:r>
      <w:r>
        <w:rPr>
          <w:rFonts w:ascii="Times New Roman"/>
          <w:b/>
          <w:i w:val="false"/>
          <w:color w:val="000000"/>
        </w:rPr>
        <w:t>VII. Другие средства и мероприятия, связанные с проведением совещаний</w:t>
      </w:r>
    </w:p>
    <w:bookmarkEnd w:id="211"/>
    <w:bookmarkStart w:name="z279" w:id="2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В месте проведения конференции должны быть организованы службы общественного питания, предлагающие доступное питание в кафетерии/столовой для сотрудников Секретариата и делегатов. Банкетные услуги для проведения приемов и других общественных мероприятий также должны предоставляться по предварительному запросу. Меню питания должно включать более экологичные продукты с низким уровнем выбросов углекислого газа и учитывать диетические ограничения, включая халяль, веганство и вегетарианство.</w:t>
      </w:r>
    </w:p>
    <w:bookmarkEnd w:id="212"/>
    <w:bookmarkStart w:name="z281" w:id="213"/>
    <w:p>
      <w:pPr>
        <w:spacing w:after="0"/>
        <w:ind w:left="0"/>
        <w:jc w:val="both"/>
      </w:pPr>
      <w:r>
        <w:rPr>
          <w:rFonts w:ascii="Times New Roman"/>
          <w:b w:val="false"/>
          <w:i w:val="false"/>
          <w:color w:val="000000"/>
          <w:sz w:val="28"/>
        </w:rPr>
        <w:t>
      48. Принимающая сторона должна обеспечить непрерывную подачу бесплатной питьевой воды по всему месту проведения конференции, включая конференц-зал, залы заседаний и офисы.</w:t>
      </w:r>
    </w:p>
    <w:bookmarkEnd w:id="213"/>
    <w:bookmarkStart w:name="z282" w:id="214"/>
    <w:p>
      <w:pPr>
        <w:spacing w:after="0"/>
        <w:ind w:left="0"/>
        <w:jc w:val="both"/>
      </w:pPr>
      <w:r>
        <w:rPr>
          <w:rFonts w:ascii="Times New Roman"/>
          <w:b w:val="false"/>
          <w:i w:val="false"/>
          <w:color w:val="000000"/>
          <w:sz w:val="28"/>
        </w:rPr>
        <w:t>
      49. В месте проведения конференции должны быть доступны банковские услуги (например, банкоматы) и медицинское обслуживание, включая бригаду первой помощи и машину скорой помощи.</w:t>
      </w:r>
    </w:p>
    <w:bookmarkEnd w:id="214"/>
    <w:bookmarkStart w:name="z283" w:id="215"/>
    <w:p>
      <w:pPr>
        <w:spacing w:after="0"/>
        <w:ind w:left="0"/>
        <w:jc w:val="both"/>
      </w:pPr>
      <w:r>
        <w:rPr>
          <w:rFonts w:ascii="Times New Roman"/>
          <w:b w:val="false"/>
          <w:i w:val="false"/>
          <w:color w:val="000000"/>
          <w:sz w:val="28"/>
        </w:rPr>
        <w:t>
      50. Место проведения конференции должно быть легко доступно для общественного транспорта, и принимающей стране рекомендуется принять меры для облегчения передвижения участников заседания и сотрудников секретариата, где это необходимо.</w:t>
      </w:r>
    </w:p>
    <w:bookmarkEnd w:id="215"/>
    <w:bookmarkStart w:name="z284" w:id="216"/>
    <w:p>
      <w:pPr>
        <w:spacing w:after="0"/>
        <w:ind w:left="0"/>
        <w:jc w:val="both"/>
      </w:pPr>
      <w:r>
        <w:rPr>
          <w:rFonts w:ascii="Times New Roman"/>
          <w:b w:val="false"/>
          <w:i w:val="false"/>
          <w:color w:val="000000"/>
          <w:sz w:val="28"/>
        </w:rPr>
        <w:t>
      51. ЭСКАТО предоставляет формулировки для всех табличек с названиями, которые будут использоваться в залах пленарных заседаний и заседаний, табличек с названиями офисов и указателей направлений для различных залов заседаний и функциональных помещений, для того чтобы принимающая страна могла их напечатать и разместить. Принимающая страна должна напечатать таблички с названиями офисов с формулировками, предоставленными ЭСКАТО. В соответствии с темой и целями конференции информация для общественности должна быть представлена в понятном и доступном формате.</w:t>
      </w:r>
    </w:p>
    <w:bookmarkEnd w:id="216"/>
    <w:bookmarkStart w:name="z285" w:id="217"/>
    <w:p>
      <w:pPr>
        <w:spacing w:after="0"/>
        <w:ind w:left="0"/>
        <w:jc w:val="both"/>
      </w:pPr>
      <w:r>
        <w:rPr>
          <w:rFonts w:ascii="Times New Roman"/>
          <w:b w:val="false"/>
          <w:i w:val="false"/>
          <w:color w:val="000000"/>
          <w:sz w:val="28"/>
        </w:rPr>
        <w:t>
      52. В дополнение к флагштокам и основаниям для флагов внутри помещений, упомянутым выше в разделе I.13, принимающая страна должна предоставить как минимум два открытых флагштока для вывешивания флагов Организации Объединенных Наций и принимающей страны, а также два индивидуальных флагштока и основания для офиса Исполнительного секретаря и зала для СМИ. Все необходимые флаги должны быть предоставлены ЭСКАТО.</w:t>
      </w:r>
    </w:p>
    <w:bookmarkEnd w:id="217"/>
    <w:bookmarkStart w:name="z286" w:id="218"/>
    <w:p>
      <w:pPr>
        <w:spacing w:after="0"/>
        <w:ind w:left="0"/>
        <w:jc w:val="both"/>
      </w:pPr>
      <w:r>
        <w:rPr>
          <w:rFonts w:ascii="Times New Roman"/>
          <w:b w:val="false"/>
          <w:i w:val="false"/>
          <w:color w:val="000000"/>
          <w:sz w:val="28"/>
        </w:rPr>
        <w:t>
      53. Сотрудники Секретариата могут провозить с собой сопровождаемый багаж с документами, публикациями и другими материалами, необходимыми для организации конференции. Принимающая страна оказывает содействие и помощь в таможенном оформлении, если это необходимо.</w:t>
      </w:r>
    </w:p>
    <w:bookmarkEnd w:id="218"/>
    <w:bookmarkStart w:name="z287" w:id="219"/>
    <w:p>
      <w:pPr>
        <w:spacing w:after="0"/>
        <w:ind w:left="0"/>
        <w:jc w:val="left"/>
      </w:pPr>
      <w:r>
        <w:rPr>
          <w:rFonts w:ascii="Times New Roman"/>
          <w:b/>
          <w:i w:val="false"/>
          <w:color w:val="000000"/>
        </w:rPr>
        <w:t xml:space="preserve"> VIII. Службы безопасности и охраны</w:t>
      </w:r>
    </w:p>
    <w:bookmarkEnd w:id="219"/>
    <w:bookmarkStart w:name="z288" w:id="220"/>
    <w:p>
      <w:pPr>
        <w:spacing w:after="0"/>
        <w:ind w:left="0"/>
        <w:jc w:val="both"/>
      </w:pPr>
      <w:r>
        <w:rPr>
          <w:rFonts w:ascii="Times New Roman"/>
          <w:b w:val="false"/>
          <w:i w:val="false"/>
          <w:color w:val="000000"/>
          <w:sz w:val="28"/>
        </w:rPr>
        <w:t>
      54. Предоставление услуг по обеспечению безопасности и охраны обсуждается и согласовывается между ЭСКАТО и принимающей страной.</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II </w:t>
            </w:r>
            <w:r>
              <w:br/>
            </w:r>
            <w:r>
              <w:rPr>
                <w:rFonts w:ascii="Times New Roman"/>
                <w:b w:val="false"/>
                <w:i w:val="false"/>
                <w:color w:val="000000"/>
                <w:sz w:val="20"/>
              </w:rPr>
              <w:t>к Соглашению</w:t>
            </w:r>
            <w:r>
              <w:rPr>
                <w:rFonts w:ascii="Times New Roman"/>
                <w:b w:val="false"/>
                <w:i w:val="false"/>
                <w:color w:val="000000"/>
                <w:sz w:val="20"/>
              </w:rPr>
              <w:t xml:space="preserve"> между</w:t>
            </w:r>
            <w:r>
              <w:br/>
            </w:r>
            <w:r>
              <w:rPr>
                <w:rFonts w:ascii="Times New Roman"/>
                <w:b w:val="false"/>
                <w:i w:val="false"/>
                <w:color w:val="000000"/>
                <w:sz w:val="20"/>
              </w:rPr>
              <w:t>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Организацией Объединенных</w:t>
            </w:r>
            <w:r>
              <w:br/>
            </w:r>
            <w:r>
              <w:rPr>
                <w:rFonts w:ascii="Times New Roman"/>
                <w:b w:val="false"/>
                <w:i w:val="false"/>
                <w:color w:val="000000"/>
                <w:sz w:val="20"/>
              </w:rPr>
              <w:t>Наций об организации</w:t>
            </w:r>
            <w:r>
              <w:br/>
            </w:r>
            <w:r>
              <w:rPr>
                <w:rFonts w:ascii="Times New Roman"/>
                <w:b w:val="false"/>
                <w:i w:val="false"/>
                <w:color w:val="000000"/>
                <w:sz w:val="20"/>
              </w:rPr>
              <w:t>Азиатско-Тихоокеанской</w:t>
            </w:r>
            <w:r>
              <w:br/>
            </w:r>
            <w:r>
              <w:rPr>
                <w:rFonts w:ascii="Times New Roman"/>
                <w:b w:val="false"/>
                <w:i w:val="false"/>
                <w:color w:val="000000"/>
                <w:sz w:val="20"/>
              </w:rPr>
              <w:t>министерской конференции по</w:t>
            </w:r>
            <w:r>
              <w:br/>
            </w:r>
            <w:r>
              <w:rPr>
                <w:rFonts w:ascii="Times New Roman"/>
                <w:b w:val="false"/>
                <w:i w:val="false"/>
                <w:color w:val="000000"/>
                <w:sz w:val="20"/>
              </w:rPr>
              <w:t>цифровой инклюзии и</w:t>
            </w:r>
            <w:r>
              <w:br/>
            </w:r>
            <w:r>
              <w:rPr>
                <w:rFonts w:ascii="Times New Roman"/>
                <w:b w:val="false"/>
                <w:i w:val="false"/>
                <w:color w:val="000000"/>
                <w:sz w:val="20"/>
              </w:rPr>
              <w:t>трансформации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оценка дополнительных расходов на Секретариат ЭСКАТО </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(долл.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сотрудников ЭСКАТО </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подготовительной миссии ЭСКАТО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сборы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фонд (10% от пунктов I-IV выше в соответствии с ST/AI/342)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административную поддержку (5% от пунктов I-V выше в соответствии с ST/AI/342)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смета дополнительных расходов (которые должно нести Правительство принимающей страны в дополнение к другим объектам и вспомогательным услугам принимающей страны)</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237,302.84</w:t>
            </w:r>
          </w:p>
        </w:tc>
      </w:tr>
    </w:tbl>
    <w:bookmarkStart w:name="z297" w:id="2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w:t>
      </w:r>
    </w:p>
    <w:bookmarkEnd w:id="2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Общая продолжительность встречи в Астане (Казахстан) оценивается в 3 дня.</w:t>
      </w:r>
    </w:p>
    <w:bookmarkStart w:name="z298"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Сметные расходы рассчитаны по тарифам, действующим в сентябре 2023 года, и основаны на использовании Астаны в качестве места проведения встречи. В финансовом отчете будут отражены фактические расходы.</w:t>
      </w:r>
    </w:p>
    <w:bookmarkEnd w:id="222"/>
    <w:bookmarkStart w:name="z299" w:id="223"/>
    <w:p>
      <w:pPr>
        <w:spacing w:after="0"/>
        <w:ind w:left="0"/>
        <w:jc w:val="both"/>
      </w:pPr>
      <w:r>
        <w:rPr>
          <w:rFonts w:ascii="Times New Roman"/>
          <w:b w:val="false"/>
          <w:i w:val="false"/>
          <w:color w:val="000000"/>
          <w:sz w:val="28"/>
        </w:rPr>
        <w:t>
      a. Суточные (DSA) рассчитываются в размере 100 % от ставки DSA, составляющей 211 долл. США для Астаны, Казахстан, в сентябре 2023 года. Если стоимость проживания в гостинице превышает 50 % от DSA, разница должна быть субсидирована Правительством принимающей страны согласно соответствующим правилам и положениям Организации Объединенных Наций.</w:t>
      </w:r>
    </w:p>
    <w:bookmarkEnd w:id="223"/>
    <w:bookmarkStart w:name="z300" w:id="224"/>
    <w:p>
      <w:pPr>
        <w:spacing w:after="0"/>
        <w:ind w:left="0"/>
        <w:jc w:val="both"/>
      </w:pPr>
      <w:r>
        <w:rPr>
          <w:rFonts w:ascii="Times New Roman"/>
          <w:b w:val="false"/>
          <w:i w:val="false"/>
          <w:color w:val="000000"/>
          <w:sz w:val="28"/>
        </w:rPr>
        <w:t>
      b. Стоимость проезда рассчитана исходя из текущего тарифа экономического класса на перелет туда-обратно по маршруту Бангкок - Астана в сентябре 2023 года в размере 2025 долл. США + терминальные и прочие расходы в размере 252 долл. США, итого 2277 долл. США на человека (исключение: Исполнительный секретарь, для которого используется тариф бизнес-класса в оба конца по цене 5345 долл. США в сентябре 2023 года). Если в связи с ограниченным расписанием полетов - в одну сторону или туда и обратно - необходимо применить тариф бизнес-класса, стоимость авиабилета будет скорректирована соответствующим образом.</w:t>
      </w:r>
    </w:p>
    <w:bookmarkEnd w:id="224"/>
    <w:bookmarkStart w:name="z301" w:id="225"/>
    <w:p>
      <w:pPr>
        <w:spacing w:after="0"/>
        <w:ind w:left="0"/>
        <w:jc w:val="both"/>
      </w:pPr>
      <w:r>
        <w:rPr>
          <w:rFonts w:ascii="Times New Roman"/>
          <w:b w:val="false"/>
          <w:i w:val="false"/>
          <w:color w:val="000000"/>
          <w:sz w:val="28"/>
        </w:rPr>
        <w:t>
      Однако, если транспорт от аэропорта до гостиницы и обратно в аэропорт обеспечивается Правительством принимающей страны, то сотруднику будет оплачено 126 долл. США (два перелета в Бангкок) и 28 долл. США (два перелета в Астану, Казахстан), что в общей сложности составит 154 долл. США на человека.</w:t>
      </w:r>
    </w:p>
    <w:bookmarkEnd w:id="225"/>
    <w:bookmarkStart w:name="z302" w:id="2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Приведенная выше сметная стоимость не включают затраты на предоставление средств/услуг принимающей страны, таких как аренда конференц-залов, офисных помещений, оборудования, местного транспорта, предоставление местного вспомогательного персонала, печать рекламных информационных материалов и т. д.</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Командировочные расходы сотрудников ЭСКАТО: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7"/>
          <w:p>
            <w:pPr>
              <w:spacing w:after="20"/>
              <w:ind w:left="20"/>
              <w:jc w:val="both"/>
            </w:pPr>
            <w:r>
              <w:rPr>
                <w:rFonts w:ascii="Times New Roman"/>
                <w:b w:val="false"/>
                <w:i w:val="false"/>
                <w:color w:val="000000"/>
                <w:sz w:val="20"/>
              </w:rPr>
              <w:t>
Отделы/Управления</w:t>
            </w:r>
          </w:p>
          <w:bookmarkEnd w:id="2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DSA (211,00 долл.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8"/>
          <w:p>
            <w:pPr>
              <w:spacing w:after="20"/>
              <w:ind w:left="20"/>
              <w:jc w:val="both"/>
            </w:pPr>
            <w:r>
              <w:rPr>
                <w:rFonts w:ascii="Times New Roman"/>
                <w:b w:val="false"/>
                <w:i w:val="false"/>
                <w:color w:val="000000"/>
                <w:sz w:val="20"/>
              </w:rPr>
              <w:t>
Стоимость проезда</w:t>
            </w:r>
          </w:p>
          <w:bookmarkEnd w:id="228"/>
          <w:p>
            <w:pPr>
              <w:spacing w:after="20"/>
              <w:ind w:left="20"/>
              <w:jc w:val="both"/>
            </w:pPr>
            <w:r>
              <w:rPr>
                <w:rFonts w:ascii="Times New Roman"/>
                <w:b w:val="false"/>
                <w:i w:val="false"/>
                <w:color w:val="000000"/>
                <w:sz w:val="20"/>
              </w:rPr>
              <w:t>
(2 277,00 долл. США)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29"/>
          <w:p>
            <w:pPr>
              <w:spacing w:after="20"/>
              <w:ind w:left="20"/>
              <w:jc w:val="both"/>
            </w:pPr>
            <w:r>
              <w:rPr>
                <w:rFonts w:ascii="Times New Roman"/>
                <w:b w:val="false"/>
                <w:i w:val="false"/>
                <w:color w:val="000000"/>
                <w:sz w:val="20"/>
              </w:rPr>
              <w:t>
Общая стоимость</w:t>
            </w:r>
          </w:p>
          <w:bookmarkEnd w:id="229"/>
          <w:p>
            <w:pPr>
              <w:spacing w:after="20"/>
              <w:ind w:left="20"/>
              <w:jc w:val="both"/>
            </w:pPr>
            <w:r>
              <w:rPr>
                <w:rFonts w:ascii="Times New Roman"/>
                <w:b w:val="false"/>
                <w:i w:val="false"/>
                <w:color w:val="000000"/>
                <w:sz w:val="20"/>
              </w:rPr>
              <w:t>
(долл. США)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Офис исполнительного секретаря: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0"/>
          <w:p>
            <w:pPr>
              <w:spacing w:after="20"/>
              <w:ind w:left="20"/>
              <w:jc w:val="both"/>
            </w:pPr>
            <w:r>
              <w:rPr>
                <w:rFonts w:ascii="Times New Roman"/>
                <w:b w:val="false"/>
                <w:i w:val="false"/>
                <w:color w:val="000000"/>
                <w:sz w:val="20"/>
              </w:rPr>
              <w:t>
</w:t>
            </w:r>
            <w:r>
              <w:rPr>
                <w:rFonts w:ascii="Times New Roman"/>
                <w:b w:val="false"/>
                <w:i w:val="false"/>
                <w:color w:val="000000"/>
                <w:sz w:val="20"/>
              </w:rPr>
              <w:t>Исполнительный секретарь</w:t>
            </w:r>
          </w:p>
          <w:bookmarkEnd w:id="230"/>
          <w:p>
            <w:pPr>
              <w:spacing w:after="20"/>
              <w:ind w:left="20"/>
              <w:jc w:val="both"/>
            </w:pPr>
            <w:r>
              <w:rPr>
                <w:rFonts w:ascii="Times New Roman"/>
                <w:b w:val="false"/>
                <w:i w:val="false"/>
                <w:color w:val="000000"/>
                <w:sz w:val="20"/>
              </w:rPr>
              <w:t>
2 сотрудника Канцелярии Исполнительного секретаря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Коммуникации и управление знаниями Раздел: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Сотрудники ЦКМС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1"/>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Координационный отдел: (8)</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Отдел ИКТ и снижения риска бедствий: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w:t>
            </w:r>
          </w:p>
          <w:p>
            <w:pPr>
              <w:spacing w:after="20"/>
              <w:ind w:left="20"/>
              <w:jc w:val="both"/>
            </w:pPr>
            <w:r>
              <w:rPr>
                <w:rFonts w:ascii="Times New Roman"/>
                <w:b w:val="false"/>
                <w:i w:val="false"/>
                <w:color w:val="000000"/>
                <w:sz w:val="20"/>
              </w:rPr>
              <w:t>
7 Персонал IDD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2"/>
          <w:p>
            <w:pPr>
              <w:spacing w:after="20"/>
              <w:ind w:left="20"/>
              <w:jc w:val="both"/>
            </w:pPr>
            <w:r>
              <w:rPr>
                <w:rFonts w:ascii="Times New Roman"/>
                <w:b w:val="false"/>
                <w:i w:val="false"/>
                <w:color w:val="000000"/>
                <w:sz w:val="20"/>
              </w:rPr>
              <w:t>
1</w:t>
            </w:r>
          </w:p>
          <w:bookmarkEnd w:id="232"/>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3"/>
          <w:p>
            <w:pPr>
              <w:spacing w:after="20"/>
              <w:ind w:left="20"/>
              <w:jc w:val="both"/>
            </w:pPr>
            <w:r>
              <w:rPr>
                <w:rFonts w:ascii="Times New Roman"/>
                <w:b w:val="false"/>
                <w:i w:val="false"/>
                <w:color w:val="000000"/>
                <w:sz w:val="20"/>
              </w:rPr>
              <w:t>
5</w:t>
            </w:r>
          </w:p>
          <w:bookmarkEnd w:id="233"/>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4"/>
          <w:p>
            <w:pPr>
              <w:spacing w:after="20"/>
              <w:ind w:left="20"/>
              <w:jc w:val="both"/>
            </w:pPr>
            <w:r>
              <w:rPr>
                <w:rFonts w:ascii="Times New Roman"/>
                <w:b w:val="false"/>
                <w:i w:val="false"/>
                <w:color w:val="000000"/>
                <w:sz w:val="20"/>
              </w:rPr>
              <w:t>
1,055.00</w:t>
            </w:r>
          </w:p>
          <w:bookmarkEnd w:id="234"/>
          <w:p>
            <w:pPr>
              <w:spacing w:after="20"/>
              <w:ind w:left="20"/>
              <w:jc w:val="both"/>
            </w:pPr>
            <w:r>
              <w:rPr>
                <w:rFonts w:ascii="Times New Roman"/>
                <w:b w:val="false"/>
                <w:i w:val="false"/>
                <w:color w:val="000000"/>
                <w:sz w:val="20"/>
              </w:rPr>
              <w:t>
7,385.00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5"/>
          <w:p>
            <w:pPr>
              <w:spacing w:after="20"/>
              <w:ind w:left="20"/>
              <w:jc w:val="both"/>
            </w:pPr>
            <w:r>
              <w:rPr>
                <w:rFonts w:ascii="Times New Roman"/>
                <w:b w:val="false"/>
                <w:i w:val="false"/>
                <w:color w:val="000000"/>
                <w:sz w:val="20"/>
              </w:rPr>
              <w:t>
2,277.00</w:t>
            </w:r>
          </w:p>
          <w:bookmarkEnd w:id="235"/>
          <w:p>
            <w:pPr>
              <w:spacing w:after="20"/>
              <w:ind w:left="20"/>
              <w:jc w:val="both"/>
            </w:pPr>
            <w:r>
              <w:rPr>
                <w:rFonts w:ascii="Times New Roman"/>
                <w:b w:val="false"/>
                <w:i w:val="false"/>
                <w:color w:val="000000"/>
                <w:sz w:val="20"/>
              </w:rPr>
              <w:t>
15,939.00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6"/>
          <w:p>
            <w:pPr>
              <w:spacing w:after="20"/>
              <w:ind w:left="20"/>
              <w:jc w:val="both"/>
            </w:pPr>
            <w:r>
              <w:rPr>
                <w:rFonts w:ascii="Times New Roman"/>
                <w:b w:val="false"/>
                <w:i w:val="false"/>
                <w:color w:val="000000"/>
                <w:sz w:val="20"/>
              </w:rPr>
              <w:t>
3,332.00</w:t>
            </w:r>
          </w:p>
          <w:bookmarkEnd w:id="236"/>
          <w:p>
            <w:pPr>
              <w:spacing w:after="20"/>
              <w:ind w:left="20"/>
              <w:jc w:val="both"/>
            </w:pPr>
            <w:r>
              <w:rPr>
                <w:rFonts w:ascii="Times New Roman"/>
                <w:b w:val="false"/>
                <w:i w:val="false"/>
                <w:color w:val="000000"/>
                <w:sz w:val="20"/>
              </w:rPr>
              <w:t>
23,324.00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37"/>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Побочные события: (3)</w:t>
            </w:r>
          </w:p>
          <w:bookmarkEnd w:id="237"/>
          <w:p>
            <w:pPr>
              <w:spacing w:after="20"/>
              <w:ind w:left="20"/>
              <w:jc w:val="both"/>
            </w:pPr>
            <w:r>
              <w:rPr>
                <w:rFonts w:ascii="Times New Roman"/>
                <w:b w:val="false"/>
                <w:i w:val="false"/>
                <w:color w:val="000000"/>
                <w:sz w:val="20"/>
              </w:rPr>
              <w:t>
3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Административный отдел: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администрация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конференции и секции общего 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управления конференциями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конференц-зала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 отвечающие за координацию конференции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отвечающие за материально-техническое обеспечение и регистрацию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отвечающие за технологию проведения конференции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отвечающие за 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Секция обслуживания конференций и документации: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обслуживания конференций и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Административный помощник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8"/>
          <w:p>
            <w:pPr>
              <w:spacing w:after="20"/>
              <w:ind w:left="20"/>
              <w:jc w:val="both"/>
            </w:pPr>
            <w:r>
              <w:rPr>
                <w:rFonts w:ascii="Times New Roman"/>
                <w:b w:val="false"/>
                <w:i w:val="false"/>
                <w:color w:val="000000"/>
                <w:sz w:val="20"/>
              </w:rPr>
              <w:t>
Редактор английского языка</w:t>
            </w:r>
          </w:p>
          <w:bookmarkEnd w:id="238"/>
          <w:p>
            <w:pPr>
              <w:spacing w:after="20"/>
              <w:ind w:left="20"/>
              <w:jc w:val="both"/>
            </w:pPr>
            <w:r>
              <w:rPr>
                <w:rFonts w:ascii="Times New Roman"/>
                <w:b w:val="false"/>
                <w:i w:val="false"/>
                <w:color w:val="000000"/>
                <w:sz w:val="20"/>
              </w:rPr>
              <w:t>
Вычитка/реферирование и предварительное редактирование на английском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 по управлению документами </w:t>
            </w:r>
          </w:p>
          <w:p>
            <w:pPr>
              <w:spacing w:after="20"/>
              <w:ind w:left="20"/>
              <w:jc w:val="both"/>
            </w:pPr>
            <w:r>
              <w:rPr>
                <w:rFonts w:ascii="Times New Roman"/>
                <w:b w:val="false"/>
                <w:i w:val="false"/>
                <w:color w:val="000000"/>
                <w:sz w:val="20"/>
              </w:rPr>
              <w:t>
Печать и распространение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 Допущение: отсутствие параллельных сессий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пять трехчасовых занятий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(3C)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(2R)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(2E)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Переводчики (2F)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Услуги безопасности: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службы безопасности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командировочные расходы обслуживающего персонала ЭСКАТО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146,385.00</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*Для устных переводчиков командировочные расходы покрывают только дополнительные затраты на их поездку в Астану вместо Бангкока.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Командировочные расходы подготовительных миссий: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39"/>
          <w:p>
            <w:pPr>
              <w:spacing w:after="20"/>
              <w:ind w:left="20"/>
              <w:jc w:val="both"/>
            </w:pPr>
            <w:r>
              <w:rPr>
                <w:rFonts w:ascii="Times New Roman"/>
                <w:b w:val="false"/>
                <w:i w:val="false"/>
                <w:color w:val="000000"/>
                <w:sz w:val="20"/>
              </w:rPr>
              <w:t>
DSA</w:t>
            </w:r>
          </w:p>
          <w:bookmarkEnd w:id="239"/>
          <w:p>
            <w:pPr>
              <w:spacing w:after="20"/>
              <w:ind w:left="20"/>
              <w:jc w:val="both"/>
            </w:pPr>
            <w:r>
              <w:rPr>
                <w:rFonts w:ascii="Times New Roman"/>
                <w:b w:val="false"/>
                <w:i w:val="false"/>
                <w:color w:val="000000"/>
                <w:sz w:val="20"/>
              </w:rPr>
              <w:t>
(211,00 долл.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40"/>
          <w:p>
            <w:pPr>
              <w:spacing w:after="20"/>
              <w:ind w:left="20"/>
              <w:jc w:val="both"/>
            </w:pPr>
            <w:r>
              <w:rPr>
                <w:rFonts w:ascii="Times New Roman"/>
                <w:b w:val="false"/>
                <w:i w:val="false"/>
                <w:color w:val="000000"/>
                <w:sz w:val="20"/>
              </w:rPr>
              <w:t>
Стоимость проезда</w:t>
            </w:r>
          </w:p>
          <w:bookmarkEnd w:id="240"/>
          <w:p>
            <w:pPr>
              <w:spacing w:after="20"/>
              <w:ind w:left="20"/>
              <w:jc w:val="both"/>
            </w:pPr>
            <w:r>
              <w:rPr>
                <w:rFonts w:ascii="Times New Roman"/>
                <w:b w:val="false"/>
                <w:i w:val="false"/>
                <w:color w:val="000000"/>
                <w:sz w:val="20"/>
              </w:rPr>
              <w:t>
(2 277,00 долл. США)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(долл. США)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Подготовительная 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человека на 3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Техническая 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человека на 3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командировочные расходы подготовительных миссий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34,920.00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Операционные расходы: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41"/>
          <w:p>
            <w:pPr>
              <w:spacing w:after="20"/>
              <w:ind w:left="20"/>
              <w:jc w:val="both"/>
            </w:pPr>
            <w:r>
              <w:rPr>
                <w:rFonts w:ascii="Times New Roman"/>
                <w:b w:val="false"/>
                <w:i w:val="false"/>
                <w:color w:val="000000"/>
                <w:sz w:val="20"/>
              </w:rPr>
              <w:t>
 </w:t>
            </w:r>
          </w:p>
          <w:bookmarkEnd w:id="241"/>
          <w:p>
            <w:pPr>
              <w:spacing w:after="20"/>
              <w:ind w:left="20"/>
              <w:jc w:val="both"/>
            </w:pPr>
            <w:r>
              <w:rPr>
                <w:rFonts w:ascii="Times New Roman"/>
                <w:b w:val="false"/>
                <w:i w:val="false"/>
                <w:color w:val="000000"/>
                <w:sz w:val="20"/>
              </w:rPr>
              <w:t>
</w:t>
            </w:r>
            <w:r>
              <w:rPr>
                <w:rFonts w:ascii="Times New Roman"/>
                <w:b/>
                <w:i w:val="false"/>
                <w:color w:val="000000"/>
                <w:sz w:val="20"/>
              </w:rPr>
              <w:t>22,652.00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Авиаперевозка и сопутствующие расходы (около 100 кг. в каждую сторону, БКК-АСТАНА @US$35.06/кг. и АСТАНА-БКК @US$191.46/кг.)</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Разные расходы: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42"/>
          <w:p>
            <w:pPr>
              <w:spacing w:after="20"/>
              <w:ind w:left="20"/>
              <w:jc w:val="both"/>
            </w:pPr>
            <w:r>
              <w:rPr>
                <w:rFonts w:ascii="Times New Roman"/>
                <w:b w:val="false"/>
                <w:i w:val="false"/>
                <w:color w:val="000000"/>
                <w:sz w:val="20"/>
              </w:rPr>
              <w:t>
 </w:t>
            </w:r>
          </w:p>
          <w:bookmarkEnd w:id="242"/>
          <w:p>
            <w:pPr>
              <w:spacing w:after="20"/>
              <w:ind w:left="20"/>
              <w:jc w:val="both"/>
            </w:pPr>
            <w:r>
              <w:rPr>
                <w:rFonts w:ascii="Times New Roman"/>
                <w:b w:val="false"/>
                <w:i w:val="false"/>
                <w:color w:val="000000"/>
                <w:sz w:val="20"/>
              </w:rPr>
              <w:t>
</w:t>
            </w:r>
            <w:r>
              <w:rPr>
                <w:rFonts w:ascii="Times New Roman"/>
                <w:b/>
                <w:i w:val="false"/>
                <w:color w:val="000000"/>
                <w:sz w:val="20"/>
              </w:rPr>
              <w:t>1,500.00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связь, теле/почтовые и прочие расходы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(II - IV)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59,072.00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III </w:t>
            </w:r>
            <w:r>
              <w:br/>
            </w:r>
            <w:r>
              <w:rPr>
                <w:rFonts w:ascii="Times New Roman"/>
                <w:b w:val="false"/>
                <w:i w:val="false"/>
                <w:color w:val="000000"/>
                <w:sz w:val="20"/>
              </w:rPr>
              <w:t>к Соглашению</w:t>
            </w:r>
            <w:r>
              <w:rPr>
                <w:rFonts w:ascii="Times New Roman"/>
                <w:b w:val="false"/>
                <w:i w:val="false"/>
                <w:color w:val="000000"/>
                <w:sz w:val="20"/>
              </w:rPr>
              <w:t xml:space="preserve"> между</w:t>
            </w:r>
            <w:r>
              <w:br/>
            </w:r>
            <w:r>
              <w:rPr>
                <w:rFonts w:ascii="Times New Roman"/>
                <w:b w:val="false"/>
                <w:i w:val="false"/>
                <w:color w:val="000000"/>
                <w:sz w:val="20"/>
              </w:rPr>
              <w:t>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Организацией Объединенных</w:t>
            </w:r>
            <w:r>
              <w:br/>
            </w:r>
            <w:r>
              <w:rPr>
                <w:rFonts w:ascii="Times New Roman"/>
                <w:b w:val="false"/>
                <w:i w:val="false"/>
                <w:color w:val="000000"/>
                <w:sz w:val="20"/>
              </w:rPr>
              <w:t>Наций об организации</w:t>
            </w:r>
            <w:r>
              <w:br/>
            </w:r>
            <w:r>
              <w:rPr>
                <w:rFonts w:ascii="Times New Roman"/>
                <w:b w:val="false"/>
                <w:i w:val="false"/>
                <w:color w:val="000000"/>
                <w:sz w:val="20"/>
              </w:rPr>
              <w:t>Азиатско-Тихоокеанской</w:t>
            </w:r>
            <w:r>
              <w:br/>
            </w:r>
            <w:r>
              <w:rPr>
                <w:rFonts w:ascii="Times New Roman"/>
                <w:b w:val="false"/>
                <w:i w:val="false"/>
                <w:color w:val="000000"/>
                <w:sz w:val="20"/>
              </w:rPr>
              <w:t>министерской конференции по</w:t>
            </w:r>
            <w:r>
              <w:br/>
            </w:r>
            <w:r>
              <w:rPr>
                <w:rFonts w:ascii="Times New Roman"/>
                <w:b w:val="false"/>
                <w:i w:val="false"/>
                <w:color w:val="000000"/>
                <w:sz w:val="20"/>
              </w:rPr>
              <w:t xml:space="preserve">цифровой инклюзии </w:t>
            </w:r>
            <w:r>
              <w:br/>
            </w:r>
            <w:r>
              <w:rPr>
                <w:rFonts w:ascii="Times New Roman"/>
                <w:b w:val="false"/>
                <w:i w:val="false"/>
                <w:color w:val="000000"/>
                <w:sz w:val="20"/>
              </w:rPr>
              <w:t>и трансформации</w:t>
            </w:r>
            <w:r>
              <w:rPr>
                <w:rFonts w:ascii="Times New Roman"/>
                <w:b w:val="false"/>
                <w:i w:val="false"/>
                <w:color w:val="000000"/>
                <w:sz w:val="20"/>
              </w:rPr>
              <w:t> </w:t>
            </w:r>
          </w:p>
        </w:tc>
      </w:tr>
    </w:tbl>
    <w:bookmarkStart w:name="z334" w:id="243"/>
    <w:p>
      <w:pPr>
        <w:spacing w:after="0"/>
        <w:ind w:left="0"/>
        <w:jc w:val="left"/>
      </w:pPr>
      <w:r>
        <w:rPr>
          <w:rFonts w:ascii="Times New Roman"/>
          <w:b/>
          <w:i w:val="false"/>
          <w:color w:val="000000"/>
        </w:rPr>
        <w:t xml:space="preserve"> Концептуальная записка проекта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Название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сотрудничества в Азиатско-Тихоокеанском регионе в целях внедрения цифровых технологий и трансформации.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Предполагаемые даты начала и окончания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44"/>
          <w:p>
            <w:pPr>
              <w:spacing w:after="20"/>
              <w:ind w:left="20"/>
              <w:jc w:val="both"/>
            </w:pPr>
            <w:r>
              <w:rPr>
                <w:rFonts w:ascii="Times New Roman"/>
                <w:b w:val="false"/>
                <w:i w:val="false"/>
                <w:color w:val="000000"/>
                <w:sz w:val="20"/>
              </w:rPr>
              <w:t>
Начало: 1 марта 2024 г.</w:t>
            </w:r>
          </w:p>
          <w:bookmarkEnd w:id="244"/>
          <w:p>
            <w:pPr>
              <w:spacing w:after="20"/>
              <w:ind w:left="20"/>
              <w:jc w:val="both"/>
            </w:pPr>
            <w:r>
              <w:rPr>
                <w:rFonts w:ascii="Times New Roman"/>
                <w:b w:val="false"/>
                <w:i w:val="false"/>
                <w:color w:val="000000"/>
                <w:sz w:val="20"/>
              </w:rPr>
              <w:t>
Окончание: 31 декабря 2025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 / Программа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45"/>
          <w:p>
            <w:pPr>
              <w:spacing w:after="20"/>
              <w:ind w:left="20"/>
              <w:jc w:val="both"/>
            </w:pPr>
            <w:r>
              <w:rPr>
                <w:rFonts w:ascii="Times New Roman"/>
                <w:b w:val="false"/>
                <w:i w:val="false"/>
                <w:color w:val="000000"/>
                <w:sz w:val="20"/>
              </w:rPr>
              <w:t>
Предлагаемый план программы ЭСКАТО на 2024 год (A/78/6 (Sect.21)), подпрограмма 5 "Информационные и коммуникационные технологии, а также снижение риска бедствий и управление ими".</w:t>
            </w:r>
          </w:p>
          <w:bookmarkEnd w:id="245"/>
          <w:p>
            <w:pPr>
              <w:spacing w:after="20"/>
              <w:ind w:left="20"/>
              <w:jc w:val="both"/>
            </w:pPr>
            <w:r>
              <w:rPr>
                <w:rFonts w:ascii="Times New Roman"/>
                <w:b w:val="false"/>
                <w:i w:val="false"/>
                <w:color w:val="000000"/>
                <w:sz w:val="20"/>
              </w:rPr>
              <w:t>
Цели: укрепление взаимодействия ИКТ, применение космических технологий, а также снижение и управление риском стихийных бедствий в целях жизнестойкого и устойчивого развития в Азиатско-Тихоокеанском регионе посредством регионального сотрудничества и обмена передовым опытом.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Ответственное подразделение/офис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информационных и коммуникационных технологий и снижения риска стихийных бедствий (IDD)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Другие подразделения-исполнители или офисы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Субрегиональное отделение для Северной и Центральной Азии (СРО-NCA) и Азиатско-Тихоокеанский учебный центр ИКТ в целях развития (APCICT)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Целевые страны/субрегионы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46"/>
          <w:p>
            <w:pPr>
              <w:spacing w:after="20"/>
              <w:ind w:left="20"/>
              <w:jc w:val="both"/>
            </w:pPr>
            <w:r>
              <w:rPr>
                <w:rFonts w:ascii="Times New Roman"/>
                <w:b w:val="false"/>
                <w:i w:val="false"/>
                <w:color w:val="000000"/>
                <w:sz w:val="20"/>
              </w:rPr>
              <w:t>
Основные целевые страны: страны Северной и Центральной Азии.</w:t>
            </w:r>
          </w:p>
          <w:bookmarkEnd w:id="246"/>
          <w:p>
            <w:pPr>
              <w:spacing w:after="20"/>
              <w:ind w:left="20"/>
              <w:jc w:val="both"/>
            </w:pPr>
            <w:r>
              <w:rPr>
                <w:rFonts w:ascii="Times New Roman"/>
                <w:b w:val="false"/>
                <w:i w:val="false"/>
                <w:color w:val="000000"/>
                <w:sz w:val="20"/>
              </w:rPr>
              <w:t>
Страны-бенефициары: все остальные государства-члены ЭСКАТО.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Результаты подпрограммы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ЭСКАТО на 2024 год (A/78/6 (Sect.21)) Подпрограмма 5 "Информационно-коммуникационные технологии, снижение риска стихийных бедствий и управление ими: B. Генерирование и передача знаний, проекты на местах и технического сотрудничества по содействию подключению к ИКТ.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Соответствующие цели, задачи и индикаторы ЦУР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 4 (задача 4.4); ЦУР 8 (задача 8.2, задача 8.3); ЦУР 9 (задача 9.1, задача 9.2, задача 9.3, задача 9.c); ЦУР 17 (задача 17.6, задача 17.16)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Гендерные маркеры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GEM1: Ожидается, что вопросы, касающиеся гендерного равенства, будут включены путем рассмотрения гендерно-ориентированных подходов на основе платформ и активизации усилий по привлечению представителей женского пола к семинарам по наращиванию потенциала.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Целевая группа(ы)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Министры и высокопоставленные правительственные чиновники, занимающиеся продвижением цифрового сотрудничества и решений, а также представители бизнес-секторов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Внешний партнер(ы)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47"/>
          <w:p>
            <w:pPr>
              <w:spacing w:after="20"/>
              <w:ind w:left="20"/>
              <w:jc w:val="both"/>
            </w:pPr>
            <w:r>
              <w:rPr>
                <w:rFonts w:ascii="Times New Roman"/>
                <w:b w:val="false"/>
                <w:i w:val="false"/>
                <w:color w:val="000000"/>
                <w:sz w:val="20"/>
              </w:rPr>
              <w:t>
● Агентства Организации Объединенных Наций, включая UNDESA/UNPOG, UNCTAD и RCO в соответствующих странах;</w:t>
            </w:r>
          </w:p>
          <w:bookmarkEnd w:id="247"/>
          <w:p>
            <w:pPr>
              <w:spacing w:after="20"/>
              <w:ind w:left="20"/>
              <w:jc w:val="both"/>
            </w:pPr>
            <w:r>
              <w:rPr>
                <w:rFonts w:ascii="Times New Roman"/>
                <w:b w:val="false"/>
                <w:i w:val="false"/>
                <w:color w:val="000000"/>
                <w:sz w:val="20"/>
              </w:rPr>
              <w:t>
</w:t>
            </w:r>
            <w:r>
              <w:rPr>
                <w:rFonts w:ascii="Times New Roman"/>
                <w:b w:val="false"/>
                <w:i w:val="false"/>
                <w:color w:val="000000"/>
                <w:sz w:val="20"/>
              </w:rPr>
              <w:t>● Международные организации, включая Исламский банк развития, Азиатский банк развития, Международный аналитический центр для развивающихся стран, не имеющих выхода к морю (ITTLLDC)</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Казахстанское агентство цифровой трансформации</w:t>
            </w:r>
          </w:p>
          <w:p>
            <w:pPr>
              <w:spacing w:after="20"/>
              <w:ind w:left="20"/>
              <w:jc w:val="both"/>
            </w:pPr>
            <w:r>
              <w:rPr>
                <w:rFonts w:ascii="Times New Roman"/>
                <w:b w:val="false"/>
                <w:i w:val="false"/>
                <w:color w:val="000000"/>
                <w:sz w:val="20"/>
              </w:rPr>
              <w:t>
● KazAID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Предлагаемые источники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Правительство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бюджет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535212,64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Координационный сбор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Неприменимо</w:t>
            </w:r>
            <w:r>
              <w:rPr>
                <w:rFonts w:ascii="Times New Roman"/>
                <w:b w:val="false"/>
                <w:i w:val="false"/>
                <w:color w:val="000000"/>
                <w:vertAlign w:val="superscript"/>
              </w:rPr>
              <w:t>1</w:t>
            </w:r>
          </w:p>
        </w:tc>
      </w:tr>
    </w:tbl>
    <w:p>
      <w:pPr>
        <w:spacing w:after="0"/>
        <w:ind w:left="0"/>
        <w:jc w:val="left"/>
      </w:pPr>
    </w:p>
    <w:p>
      <w:pPr>
        <w:spacing w:after="0"/>
        <w:ind w:left="0"/>
        <w:jc w:val="both"/>
      </w:pPr>
      <w:r>
        <w:rPr>
          <w:rFonts w:ascii="Times New Roman"/>
          <w:b w:val="false"/>
          <w:i w:val="false"/>
          <w:color w:val="000000"/>
          <w:sz w:val="28"/>
        </w:rPr>
        <w:t>
      _____________________</w:t>
      </w:r>
    </w:p>
    <w:bookmarkStart w:name="z343" w:id="2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Что касается отчетности, ЭСКАТО будет сообщать только о сумме проекта (т.е. без учета координационного сбора). Управление по координации развития Организации Объединенных Наций отвечает за отчетность по координационному сбору</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49"/>
          <w:p>
            <w:pPr>
              <w:spacing w:after="20"/>
              <w:ind w:left="20"/>
              <w:jc w:val="both"/>
            </w:pPr>
            <w:r>
              <w:rPr>
                <w:rFonts w:ascii="Times New Roman"/>
                <w:b w:val="false"/>
                <w:i w:val="false"/>
                <w:color w:val="000000"/>
                <w:sz w:val="20"/>
              </w:rPr>
              <w:t>
</w:t>
            </w:r>
            <w:r>
              <w:rPr>
                <w:rFonts w:ascii="Times New Roman"/>
                <w:b/>
                <w:i w:val="false"/>
                <w:color w:val="000000"/>
                <w:sz w:val="20"/>
              </w:rPr>
              <w:t>Краткое описание проекта</w:t>
            </w:r>
          </w:p>
          <w:bookmarkEnd w:id="249"/>
          <w:bookmarkStart w:name="z345" w:id="250"/>
          <w:p>
            <w:pPr>
              <w:spacing w:after="20"/>
              <w:ind w:left="20"/>
              <w:jc w:val="both"/>
            </w:pPr>
            <w:r>
              <w:rPr>
                <w:rFonts w:ascii="Times New Roman"/>
                <w:b w:val="false"/>
                <w:i w:val="false"/>
                <w:color w:val="000000"/>
                <w:sz w:val="20"/>
              </w:rPr>
              <w:t>
Парадигма цифрового развития трансформирует общества и экономики с беспрецедентной скоростью. В частности, расширение цифровых возможностей связи, а также повышение доступности и использования инновационных технологических приложений играют важную роль в противодействии глобальным и региональным угрозам и рискам, о чем свидетельствуют карантинные меры, связанные с пандемией коронавирусной болезни (COVID-19).</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Чтобы адаптироваться к быстро меняющейся цифровой среде и новым возникающим требованиям, Комитет по ИКТ, науке, технологиям и инновациям на своей четвертой сессии 1 января одобрил План действий Азиатско-Тихоокеанской информационной супермагистрали на 2022-2026 годы (План действий AP-IS на 2022-2026 годы). В сентябре 2022 года последовало принятие Резолюции ЭСКАТО 79/10 "Содействие цифровому сотрудничеству и инклюзивности посредством Плана действий по реализации инициативы Азиатско-Тихоокеанской информационной супермагистрали, 2022-2026 годы" в мае 2023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Резолюция ЭСКАТО 79/10 постановила созвать министерскую конференцию по цифровому охвату и преобразованию в 2024 году для ускорения реализации Целей устойчивого развития и региональных технологических инициатив, включая инициативу "Азиатско-Тихоокеанская информационная супермагистраль". В резолюции также с признательностью отмечена инициатива Правительства Республики Казахстан по созданию Центра цифровых решений для устойчивого развития для предоставления практических цифровых решений в Центральной Азии и за ее пределами посредством Плана действий APIS (Действие 12).</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резолюции приветствовалось предложение Правительства Республики Казахстан провести такую министерскую конференцию в 2024 году и просили секретариат ЭСКАТО поддержать проведение министерской конференции по цифровому охвату и преобразованию в 2024 году. Это послужит продолжением Первой Азиатско-Тихоокеанской министерской конференции по цифровым технологиям, которая состоялась в Сеуле в ноябре 2022 года. Кроме того, государства-члены в резолюции 79/10 обратились к ЭСКАТО с просьбой способствовать развитию цифрового сотрудничества между членами и ассоциированными членами для преодоления цифрового разрыва, обеспечения обучения цифровым навыкам, укреплять цифровую связь, решать и повышать цифровое доверие и безопасность, делиться передовой политикой, практикой и извлеченными уроками, а также способствовать развитию инклюзивной цифровой экономики и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ответ на эти запросы, содержащиеся в Резолюции 79/10, деятельность в рамках этого проекта была разработана для оказания поддержки успешной организации Азиатско-Тихоокеанской министерской конференции по цифровому охвату и трансформации в Астане 2024 и содействия инициативе Правительства Республики Казахстан по созданию Центра цифровых решений, включая предоставление программ исследований и наращивания потенциала. Проект направлен в конечном итоге на укрепление потенциала государств-членов в области цифровой трансформации и содействие цифровому сотрудничеству между государствами-членами и региональными заинтересованными сторонами.</w:t>
            </w:r>
          </w:p>
          <w:p>
            <w:pPr>
              <w:spacing w:after="20"/>
              <w:ind w:left="20"/>
              <w:jc w:val="both"/>
            </w:pPr>
            <w:r>
              <w:rPr>
                <w:rFonts w:ascii="Times New Roman"/>
                <w:b w:val="false"/>
                <w:i w:val="false"/>
                <w:color w:val="000000"/>
                <w:sz w:val="20"/>
              </w:rPr>
              <w:t>
Для достижения этой цели проект предпримет следующие мероприятия: (1) проведет две личные двусторонние консультативные встречи и одну виртуальную консультативную встречу между ЭСКАТО и Правительством Республики Казахстан; (2) организовать одну личную встречу заинтересованных сторон вместе с встречей рабочей группы СПЕКА по инновациям и технологиям и одну онлайн-встречу с ключевыми региональными заинтересованными сторонами; (3) организовать региональный семинар по вопросам охвата цифровыми технологиями и цифровой трансформации в качестве параллельного мероприятия Министерской конференции в 2024 году; и (4) разработать "Отчет о цифровой трансформации в Азиатско-Тихоокеанском регионе до 2024 года" и представить его основные выводы на Министерской конференции 2024 года.</w:t>
            </w:r>
          </w:p>
        </w:tc>
      </w:tr>
    </w:tbl>
    <w:bookmarkStart w:name="z350" w:id="251"/>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 проблем</w:t>
      </w:r>
    </w:p>
    <w:bookmarkEnd w:id="251"/>
    <w:bookmarkStart w:name="z351" w:id="252"/>
    <w:p>
      <w:pPr>
        <w:spacing w:after="0"/>
        <w:ind w:left="0"/>
        <w:jc w:val="both"/>
      </w:pPr>
      <w:r>
        <w:rPr>
          <w:rFonts w:ascii="Times New Roman"/>
          <w:b w:val="false"/>
          <w:i w:val="false"/>
          <w:color w:val="000000"/>
          <w:sz w:val="28"/>
        </w:rPr>
        <w:t>
      Цифровые технологии меняют структуру и парадигмы развития нашего общества. В большинстве стран, в том числе в Азиатско-Тихоокеанском регионе, многие повседневные действия сейчас измеряются в цифровом формате и управляются более точно с помощью экономических систем, которые по умолчанию стали цифровыми.</w:t>
      </w:r>
    </w:p>
    <w:bookmarkEnd w:id="252"/>
    <w:bookmarkStart w:name="z352" w:id="253"/>
    <w:p>
      <w:pPr>
        <w:spacing w:after="0"/>
        <w:ind w:left="0"/>
        <w:jc w:val="both"/>
      </w:pPr>
      <w:r>
        <w:rPr>
          <w:rFonts w:ascii="Times New Roman"/>
          <w:b w:val="false"/>
          <w:i w:val="false"/>
          <w:color w:val="000000"/>
          <w:sz w:val="28"/>
        </w:rPr>
        <w:t>
      Различные масштабы и масштабы цифровой трансформации выявили ранее существовавшее цифровое неравенство в регионе и увеличили цифровой разрыв внутри стран и между ними, оставив большую часть уязвимого населения в Азиатско-Тихоокеанском регионе далеко позади. Например, цифровые приложения, основанные на искусственном интеллекте (ИИ), предлагают экономически эффективные решения для достижения устойчивого развития за счет повышения экономической производительности и эффективности, а также цифровой связи для обмена инновационными продуктами знаний. Однако не все страны обладают цифровыми навыками и могут позволить себе использование новых технологий, отраслевых облачных платформ, хранилищ вычислительных данных, причинного искусственного интеллекта, экосистем облачных данных и перехода к экосистеме искусственного интеллекта и Web3.</w:t>
      </w:r>
    </w:p>
    <w:bookmarkEnd w:id="253"/>
    <w:bookmarkStart w:name="z353" w:id="254"/>
    <w:p>
      <w:pPr>
        <w:spacing w:after="0"/>
        <w:ind w:left="0"/>
        <w:jc w:val="both"/>
      </w:pPr>
      <w:r>
        <w:rPr>
          <w:rFonts w:ascii="Times New Roman"/>
          <w:b w:val="false"/>
          <w:i w:val="false"/>
          <w:color w:val="000000"/>
          <w:sz w:val="28"/>
        </w:rPr>
        <w:t>
      Не только цифровые приложения, но и инфраструктура цифровых подключений также остаются критической проблемой. Например, в то время как 93 процента людей, живущих в Восточной и Северо-Восточной Азии, имеют доступ к Интернету, менее четверти людей на островах Тихого океана, в Южной и Юго-Западной Азии имеют доступ к Интернету. В Центральной Азии почти половина населения (43 процента) не подключена к цифровым технологиям, а многие из них живут в сельских и отдаленных районах.</w:t>
      </w:r>
    </w:p>
    <w:bookmarkEnd w:id="254"/>
    <w:bookmarkStart w:name="z354" w:id="255"/>
    <w:p>
      <w:pPr>
        <w:spacing w:after="0"/>
        <w:ind w:left="0"/>
        <w:jc w:val="both"/>
      </w:pPr>
      <w:r>
        <w:rPr>
          <w:rFonts w:ascii="Times New Roman"/>
          <w:b w:val="false"/>
          <w:i w:val="false"/>
          <w:color w:val="000000"/>
          <w:sz w:val="28"/>
        </w:rPr>
        <w:t xml:space="preserve">
      В докладе ЭСКАТО о цифровой трансформации в Азиатско-Тихоокеанском регионе (2022 год) показан текущий статус потенциала цифровой трансформации двух государств-членов ЭСКАТО в Северной и Центральной Азии: Азербайджана (61-е место) и Республики Казахстан (62-е место) </w:t>
      </w:r>
      <w:r>
        <w:rPr>
          <w:rFonts w:ascii="Times New Roman"/>
          <w:b w:val="false"/>
          <w:i w:val="false"/>
          <w:color w:val="000000"/>
          <w:vertAlign w:val="superscript"/>
        </w:rPr>
        <w:t>2</w:t>
      </w:r>
      <w:r>
        <w:rPr>
          <w:rFonts w:ascii="Times New Roman"/>
          <w:b w:val="false"/>
          <w:i w:val="false"/>
          <w:color w:val="000000"/>
          <w:sz w:val="28"/>
        </w:rPr>
        <w:t>.</w:t>
      </w:r>
    </w:p>
    <w:bookmarkEnd w:id="255"/>
    <w:bookmarkStart w:name="z355" w:id="256"/>
    <w:p>
      <w:pPr>
        <w:spacing w:after="0"/>
        <w:ind w:left="0"/>
        <w:jc w:val="both"/>
      </w:pPr>
      <w:r>
        <w:rPr>
          <w:rFonts w:ascii="Times New Roman"/>
          <w:b w:val="false"/>
          <w:i w:val="false"/>
          <w:color w:val="000000"/>
          <w:sz w:val="28"/>
        </w:rPr>
        <w:t>
      Чтобы справиться с такими изменениями и адаптироваться к ним, необходима политическая приверженность высокого уровня цифровой трансформации и цифровому сотрудничеству, а также способность разрабатывать цифровые решения, чтобы справиться с вызовами и проблемами, возникающими на пути к инклюзивной цифровой экономике.</w:t>
      </w:r>
    </w:p>
    <w:bookmarkEnd w:id="256"/>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Другие страны Северной и Центральной Азии недоступны для анализа из-за отсутствия соответствующих данных.</w:t>
      </w:r>
    </w:p>
    <w:bookmarkStart w:name="z356" w:id="257"/>
    <w:p>
      <w:pPr>
        <w:spacing w:after="0"/>
        <w:ind w:left="0"/>
        <w:jc w:val="both"/>
      </w:pPr>
      <w:r>
        <w:rPr>
          <w:rFonts w:ascii="Times New Roman"/>
          <w:b w:val="false"/>
          <w:i w:val="false"/>
          <w:color w:val="000000"/>
          <w:sz w:val="28"/>
        </w:rPr>
        <w:t xml:space="preserve">
      </w:t>
      </w:r>
      <w:r>
        <w:rPr>
          <w:rFonts w:ascii="Times New Roman"/>
          <w:b/>
          <w:i w:val="false"/>
          <w:color w:val="000000"/>
          <w:sz w:val="28"/>
        </w:rPr>
        <w:t>Подробная стратегия реализации</w:t>
      </w:r>
    </w:p>
    <w:bookmarkEnd w:id="257"/>
    <w:bookmarkStart w:name="z357" w:id="258"/>
    <w:p>
      <w:pPr>
        <w:spacing w:after="0"/>
        <w:ind w:left="0"/>
        <w:jc w:val="both"/>
      </w:pPr>
      <w:r>
        <w:rPr>
          <w:rFonts w:ascii="Times New Roman"/>
          <w:b w:val="false"/>
          <w:i w:val="false"/>
          <w:color w:val="000000"/>
          <w:sz w:val="28"/>
        </w:rPr>
        <w:t>
      Проект разработан для реализации мероприятий, предусмотренных резолюцией 79/10 "Содействие цифровому сотрудничеству и инклюзивности посредством Плана действий по реализации инициативы Азиатско-Тихоокеанской информационной супермагистрали, 2022-2026". Отдел ИКТ и снижения риска стихийных бедствий (IDD) будет руководить разработкой, реализацией и общим управлением проектом от имени ЭСКАТО. ЭСКАТО будет оказывать поддержку планированию, подготовке и принятию Декларации, которая, как ожидается, будет принята на Азиатско-Тихоокеанской конференции министров 2024 года и будет предварительно называться "Астанинская декларация министров", через существующие региональные механизмы сотрудничества, такие как Азиатско-Тихоокеанская информационная супермагистраль. Инициатива и Специальная программа Организации Объединенных Наций для экономик Центральной Азии (СПЕКА).</w:t>
      </w:r>
    </w:p>
    <w:bookmarkEnd w:id="258"/>
    <w:bookmarkStart w:name="z358" w:id="259"/>
    <w:p>
      <w:pPr>
        <w:spacing w:after="0"/>
        <w:ind w:left="0"/>
        <w:jc w:val="both"/>
      </w:pPr>
      <w:r>
        <w:rPr>
          <w:rFonts w:ascii="Times New Roman"/>
          <w:b w:val="false"/>
          <w:i w:val="false"/>
          <w:color w:val="000000"/>
          <w:sz w:val="28"/>
        </w:rPr>
        <w:t>
      Учитывая характер министерской конференции и центра цифровых решений, проект будет способствовать сотрудничеству с широким кругом партнеров для достижения ожидаемых целей и результатов посредством совместной деятельности. Команда проекта будет создана путем привлечения соответствующих подразделений ЭСКАТО, а также соответствующих ведомств и должностных лиц в Казахстане, в частности, Министерства иностранных дел и Министерства цифрового развития, инноваций и аэрокосмической промышленности (МЦРИАП) для успешной организации мероприятия.</w:t>
      </w:r>
    </w:p>
    <w:bookmarkEnd w:id="259"/>
    <w:bookmarkStart w:name="z359" w:id="260"/>
    <w:p>
      <w:pPr>
        <w:spacing w:after="0"/>
        <w:ind w:left="0"/>
        <w:jc w:val="both"/>
      </w:pPr>
      <w:r>
        <w:rPr>
          <w:rFonts w:ascii="Times New Roman"/>
          <w:b w:val="false"/>
          <w:i w:val="false"/>
          <w:color w:val="000000"/>
          <w:sz w:val="28"/>
        </w:rPr>
        <w:t>
      IDD будет использовать существующую соответствующую работу, опыт и извлеченные уроки, включая опыт организации Комитета ЭСКАТО по ИКТ, науке, технологиям и инновациям (CICTSTI) и Первой Азиатско-Тихоокеанской министерской конференции 2022 года в Республике Корея, а также проекты развития потенциала и исследовательские работы, в частности, "Отчет о цифровой трансформации в Азиатско-Тихоокеанском регионе за 2022 год", которые информируют о направлении этого проекта.</w:t>
      </w:r>
    </w:p>
    <w:bookmarkEnd w:id="260"/>
    <w:bookmarkStart w:name="z360" w:id="261"/>
    <w:p>
      <w:pPr>
        <w:spacing w:after="0"/>
        <w:ind w:left="0"/>
        <w:jc w:val="both"/>
      </w:pPr>
      <w:r>
        <w:rPr>
          <w:rFonts w:ascii="Times New Roman"/>
          <w:b w:val="false"/>
          <w:i w:val="false"/>
          <w:color w:val="000000"/>
          <w:sz w:val="28"/>
        </w:rPr>
        <w:t>
      Чтобы обеспечить эффективность и устойчивость реализации проекта в долгосрочной перспективе, проект также будет реализовываться в партнерстве с другими агентствами Организации Объединенных Наций, региональными организациями, такими как ДЭСВ ООН, ПРООН, ЮНКТАД и Страновое координационное бюро Организации Объединенных Наций (UNRCO), GSMA, IsDB, ЦАРЭС/АБР в Центральной Азии и национальных исследовательских институтов, используя специальные навыки и опыт соответствующих организаций в рамках Инициативы по Азиатско-Тихоокеанской информационной супермагистрали. Глобальные и региональные ИТ-предприятия, а также донорские агентства также будут привлечены к участию в Министерской конференции.</w:t>
      </w:r>
    </w:p>
    <w:bookmarkEnd w:id="261"/>
    <w:bookmarkStart w:name="z361" w:id="262"/>
    <w:p>
      <w:pPr>
        <w:spacing w:after="0"/>
        <w:ind w:left="0"/>
        <w:jc w:val="both"/>
      </w:pPr>
      <w:r>
        <w:rPr>
          <w:rFonts w:ascii="Times New Roman"/>
          <w:b w:val="false"/>
          <w:i w:val="false"/>
          <w:color w:val="000000"/>
          <w:sz w:val="28"/>
        </w:rPr>
        <w:t>
      Чтобы обогатить дискуссии и обсуждение декларации Министерской конференции, секретариат ЭСКАТО в сотрудничестве с МЦРИАП и партнерскими организациями проведет многочисленные параллельные мероприятия в сентябре 2024 года в том же месте в рамках общей структуры "Азиатско-Тихоокеанского цифрового форума". Трансформационный форум на пути к инклюзивной цифровой экономике" посредством реализации проекта. Предлагаемый "Диалог по вопросам политики на высоком уровне" (одно из параллельных мероприятий) предоставит хорошую возможность высокопоставленным старшим должностным лицам государств-членов, агентств Организации Объединенных Наций, деловых секторов и международных НПО обсудить и рассмотреть новые возможности цифрового бизнеса и совместные действия, которые позволят поощрять цифровые инновации в направлении зеленой цифровой экономики.</w:t>
      </w:r>
    </w:p>
    <w:bookmarkEnd w:id="262"/>
    <w:bookmarkStart w:name="z362" w:id="263"/>
    <w:p>
      <w:pPr>
        <w:spacing w:after="0"/>
        <w:ind w:left="0"/>
        <w:jc w:val="both"/>
      </w:pPr>
      <w:r>
        <w:rPr>
          <w:rFonts w:ascii="Times New Roman"/>
          <w:b w:val="false"/>
          <w:i w:val="false"/>
          <w:color w:val="000000"/>
          <w:sz w:val="28"/>
        </w:rPr>
        <w:t>
      Проект также будет способствовать обсуждению и консультациям с MDDIAI и другими национальными и региональными учреждениями в области ИКТ/цифровых технологий по вопросу создания Центра цифровых решений, целью которого является содействие устойчивому развитию для предоставления практических цифровых решений в регионе Центральной Азии и за его пределами.</w:t>
      </w:r>
    </w:p>
    <w:bookmarkEnd w:id="263"/>
    <w:bookmarkStart w:name="z363" w:id="264"/>
    <w:p>
      <w:pPr>
        <w:spacing w:after="0"/>
        <w:ind w:left="0"/>
        <w:jc w:val="both"/>
      </w:pPr>
      <w:r>
        <w:rPr>
          <w:rFonts w:ascii="Times New Roman"/>
          <w:b w:val="false"/>
          <w:i w:val="false"/>
          <w:color w:val="000000"/>
          <w:sz w:val="28"/>
        </w:rPr>
        <w:t xml:space="preserve">
      </w:t>
      </w:r>
      <w:r>
        <w:rPr>
          <w:rFonts w:ascii="Times New Roman"/>
          <w:b/>
          <w:i w:val="false"/>
          <w:color w:val="000000"/>
          <w:sz w:val="28"/>
        </w:rPr>
        <w:t>Краткое описание логической структуры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5"/>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Цели</w:t>
            </w:r>
          </w:p>
          <w:bookmarkEnd w:id="265"/>
          <w:p>
            <w:pPr>
              <w:spacing w:after="20"/>
              <w:ind w:left="20"/>
              <w:jc w:val="both"/>
            </w:pPr>
            <w:r>
              <w:rPr>
                <w:rFonts w:ascii="Times New Roman"/>
                <w:b w:val="false"/>
                <w:i w:val="false"/>
                <w:color w:val="000000"/>
                <w:sz w:val="20"/>
              </w:rPr>
              <w:t>
Укрепить региональное сотрудничество в целях цифровой трансформации и инклюзивности.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66"/>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Результаты</w:t>
            </w:r>
          </w:p>
          <w:bookmarkEnd w:id="266"/>
          <w:p>
            <w:pPr>
              <w:spacing w:after="20"/>
              <w:ind w:left="20"/>
              <w:jc w:val="both"/>
            </w:pPr>
            <w:r>
              <w:rPr>
                <w:rFonts w:ascii="Times New Roman"/>
                <w:b w:val="false"/>
                <w:i w:val="false"/>
                <w:color w:val="000000"/>
                <w:sz w:val="20"/>
              </w:rPr>
              <w:t>
Целевые страны обязуются усилить цифровую инклюзивность и трансформацию на Азиатско-Тихоокеанской министерской конференции по цифровой инклюзивности, трансформации и поддерживают создание Центра цифровых решений в Казахстане.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67"/>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Выводы</w:t>
            </w:r>
          </w:p>
          <w:bookmarkEnd w:id="267"/>
          <w:p>
            <w:pPr>
              <w:spacing w:after="20"/>
              <w:ind w:left="20"/>
              <w:jc w:val="both"/>
            </w:pPr>
            <w:r>
              <w:rPr>
                <w:rFonts w:ascii="Times New Roman"/>
                <w:b w:val="false"/>
                <w:i w:val="false"/>
                <w:color w:val="000000"/>
                <w:sz w:val="20"/>
              </w:rPr>
              <w:t>
Повышение осведомленности заинтересованных сторон в целевых странах о преимуществах многостороннего сотрудничества для внедрения цифровых технологий и трансформации.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68"/>
          <w:p>
            <w:pPr>
              <w:spacing w:after="20"/>
              <w:ind w:left="20"/>
              <w:jc w:val="both"/>
            </w:pPr>
            <w:r>
              <w:rPr>
                <w:rFonts w:ascii="Times New Roman"/>
                <w:b w:val="false"/>
                <w:i w:val="false"/>
                <w:color w:val="000000"/>
                <w:sz w:val="20"/>
              </w:rPr>
              <w:t>
</w:t>
            </w:r>
            <w:r>
              <w:rPr>
                <w:rFonts w:ascii="Times New Roman"/>
                <w:b/>
                <w:i w:val="false"/>
                <w:color w:val="000000"/>
                <w:sz w:val="20"/>
              </w:rPr>
              <w:t>Мероприятие 1 (Определение национальных приоритетов и подготовка)</w:t>
            </w:r>
          </w:p>
          <w:bookmarkEnd w:id="268"/>
          <w:p>
            <w:pPr>
              <w:spacing w:after="20"/>
              <w:ind w:left="20"/>
              <w:jc w:val="both"/>
            </w:pPr>
            <w:r>
              <w:rPr>
                <w:rFonts w:ascii="Times New Roman"/>
                <w:b w:val="false"/>
                <w:i w:val="false"/>
                <w:color w:val="000000"/>
                <w:sz w:val="20"/>
              </w:rPr>
              <w:t>
А1: Провести одну личную двустороннюю консультативную встречу и одну виртуальную консультативную встречу между ЭСКАТО и Правительством Республики Казахстан для подготовки организации Азиатско-Тихоокеанской министерской конференции 2024 года и обсуждения плана создания Центра цифровых решений в Республике Казахстан. Двусторонняя очная консультационная встреча, которая состоится в 2024 году, будет следить за ходом подготовки Министерской конференции 2024 года, включая проекты программ и мобилизацию высокопоставленных делегаций государств-членов.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69"/>
          <w:p>
            <w:pPr>
              <w:spacing w:after="20"/>
              <w:ind w:left="20"/>
              <w:jc w:val="both"/>
            </w:pPr>
            <w:r>
              <w:rPr>
                <w:rFonts w:ascii="Times New Roman"/>
                <w:b w:val="false"/>
                <w:i w:val="false"/>
                <w:color w:val="000000"/>
                <w:sz w:val="20"/>
              </w:rPr>
              <w:t>
</w:t>
            </w:r>
            <w:r>
              <w:rPr>
                <w:rFonts w:ascii="Times New Roman"/>
                <w:b/>
                <w:i w:val="false"/>
                <w:color w:val="000000"/>
                <w:sz w:val="20"/>
              </w:rPr>
              <w:t>Мероприятие 2 (Региональные встречи заинтересованных сторон)</w:t>
            </w:r>
          </w:p>
          <w:bookmarkEnd w:id="269"/>
          <w:p>
            <w:pPr>
              <w:spacing w:after="20"/>
              <w:ind w:left="20"/>
              <w:jc w:val="both"/>
            </w:pPr>
            <w:r>
              <w:rPr>
                <w:rFonts w:ascii="Times New Roman"/>
                <w:b w:val="false"/>
                <w:i w:val="false"/>
                <w:color w:val="000000"/>
                <w:sz w:val="20"/>
              </w:rPr>
              <w:t>
A2: Организовать одну личную встречу заинтересованных сторон вместе с встречей Рабочей группы СПЕКА по инновациям и технологиям и одну онлайн-встречу заинтересованных сторон с ключевыми региональными заинтересованными сторонами для подготовки DMC и содействия созданию Центра цифровых решений.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70"/>
          <w:p>
            <w:pPr>
              <w:spacing w:after="20"/>
              <w:ind w:left="20"/>
              <w:jc w:val="both"/>
            </w:pPr>
            <w:r>
              <w:rPr>
                <w:rFonts w:ascii="Times New Roman"/>
                <w:b w:val="false"/>
                <w:i w:val="false"/>
                <w:color w:val="000000"/>
                <w:sz w:val="20"/>
              </w:rPr>
              <w:t>
</w:t>
            </w:r>
            <w:r>
              <w:rPr>
                <w:rFonts w:ascii="Times New Roman"/>
                <w:b/>
                <w:i w:val="false"/>
                <w:color w:val="000000"/>
                <w:sz w:val="20"/>
              </w:rPr>
              <w:t>Мероприятие 3 (Анализ)</w:t>
            </w:r>
          </w:p>
          <w:bookmarkEnd w:id="270"/>
          <w:p>
            <w:pPr>
              <w:spacing w:after="20"/>
              <w:ind w:left="20"/>
              <w:jc w:val="both"/>
            </w:pPr>
            <w:r>
              <w:rPr>
                <w:rFonts w:ascii="Times New Roman"/>
                <w:b w:val="false"/>
                <w:i w:val="false"/>
                <w:color w:val="000000"/>
                <w:sz w:val="20"/>
              </w:rPr>
              <w:t>
А3: (а). Разработать "Отчет о цифровой трансформации Азиатско-Тихоокеанского региона 2024" в качестве тематического документа и представить его Министерской конференции 2024 года. Флагманский отчет поддержит активные дискуссии и побудит политическую приверженность зеленой цифровой экономике (предварительная тема) в процессе организации Министерской конференции. В докладе основное внимание будет уделено (1) передовой практике цифровой трансформации в целях борьбы с изменением климата с упором на передовые технологии, такие как искусственный интеллект, и вовлечение бизнес-секторов, (2) определение индивидуальных цифровых решений для продвижения зеленой цифровой экономики и (3) разработка аналитической основы для продвижения зеленой цифровой экономики; (б). Разработать один исследовательский документ для продвижения Центра цифровых решений в области устойчивого развития (ЦЦРУР), который может включать в себя следующие ключевые области: разработка концепции, стратегии, программы, технического задания, технико-экономического обоснования и бизнес-кейса. (с). Провести опрос (оценку потребностей) для оценки уровня развития информационных и коммуникационных технологий в странах СЦА, а также прогресса цифровизации в странах Азиатско-Тихоокеанского региона. Это поможет определить потенциальные рынки в странах СЦА для передачи цифровых решений, особенно для передачи ИТ-решений.</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1"/>
          <w:p>
            <w:pPr>
              <w:spacing w:after="20"/>
              <w:ind w:left="20"/>
              <w:jc w:val="both"/>
            </w:pPr>
            <w:r>
              <w:rPr>
                <w:rFonts w:ascii="Times New Roman"/>
                <w:b w:val="false"/>
                <w:i w:val="false"/>
                <w:color w:val="000000"/>
                <w:sz w:val="20"/>
              </w:rPr>
              <w:t>
</w:t>
            </w:r>
            <w:r>
              <w:rPr>
                <w:rFonts w:ascii="Times New Roman"/>
                <w:b/>
                <w:i w:val="false"/>
                <w:color w:val="000000"/>
                <w:sz w:val="20"/>
              </w:rPr>
              <w:t>Мероприятие 4 (Знания и наращивание потенциала)</w:t>
            </w:r>
          </w:p>
          <w:bookmarkEnd w:id="271"/>
          <w:p>
            <w:pPr>
              <w:spacing w:after="20"/>
              <w:ind w:left="20"/>
              <w:jc w:val="both"/>
            </w:pPr>
            <w:r>
              <w:rPr>
                <w:rFonts w:ascii="Times New Roman"/>
                <w:b w:val="false"/>
                <w:i w:val="false"/>
                <w:color w:val="000000"/>
                <w:sz w:val="20"/>
              </w:rPr>
              <w:t>
A4: Организовать региональный семинар по цифровой инклюзии и преобразованию в качестве параллельного мероприятия Азиатско-Тихоокеанской министерской конференции 2024 года и два онлайн-семинара по наращиванию потенциала для повышения качества результатов Министерской конференции.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72"/>
          <w:p>
            <w:pPr>
              <w:spacing w:after="20"/>
              <w:ind w:left="20"/>
              <w:jc w:val="both"/>
            </w:pPr>
            <w:r>
              <w:rPr>
                <w:rFonts w:ascii="Times New Roman"/>
                <w:b w:val="false"/>
                <w:i w:val="false"/>
                <w:color w:val="000000"/>
                <w:sz w:val="20"/>
              </w:rPr>
              <w:t>
</w:t>
            </w:r>
            <w:r>
              <w:rPr>
                <w:rFonts w:ascii="Times New Roman"/>
                <w:b/>
                <w:i w:val="false"/>
                <w:color w:val="000000"/>
                <w:sz w:val="20"/>
              </w:rPr>
              <w:t>Мероприятие 5 (Пилотные проекты по технологиям цифровых решений)</w:t>
            </w:r>
          </w:p>
          <w:bookmarkEnd w:id="272"/>
          <w:p>
            <w:pPr>
              <w:spacing w:after="20"/>
              <w:ind w:left="20"/>
              <w:jc w:val="both"/>
            </w:pPr>
            <w:r>
              <w:rPr>
                <w:rFonts w:ascii="Times New Roman"/>
                <w:b w:val="false"/>
                <w:i w:val="false"/>
                <w:color w:val="000000"/>
                <w:sz w:val="20"/>
              </w:rPr>
              <w:t>
A5: Организовать 2 национальных семинара по наращиванию потенциала (гибридные) в выбранных целевых странах для повышения потенциала в области использования технологий цифровых решений, таких как Govtech , включая Smart Data Ukimet и Digital Family Map, в субрегионах ЭСКАТО, а также регулирования цифровых активов и технологий искусственного интеллекта.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73"/>
          <w:p>
            <w:pPr>
              <w:spacing w:after="20"/>
              <w:ind w:left="20"/>
              <w:jc w:val="both"/>
            </w:pPr>
            <w:r>
              <w:rPr>
                <w:rFonts w:ascii="Times New Roman"/>
                <w:b w:val="false"/>
                <w:i w:val="false"/>
                <w:color w:val="000000"/>
                <w:sz w:val="20"/>
              </w:rPr>
              <w:t>
</w:t>
            </w:r>
            <w:r>
              <w:rPr>
                <w:rFonts w:ascii="Times New Roman"/>
                <w:b/>
                <w:i w:val="false"/>
                <w:color w:val="000000"/>
                <w:sz w:val="20"/>
              </w:rPr>
              <w:t>Мероприятие 6 (Содействие участию делегатов)</w:t>
            </w:r>
          </w:p>
          <w:bookmarkEnd w:id="273"/>
          <w:p>
            <w:pPr>
              <w:spacing w:after="20"/>
              <w:ind w:left="20"/>
              <w:jc w:val="both"/>
            </w:pPr>
            <w:r>
              <w:rPr>
                <w:rFonts w:ascii="Times New Roman"/>
                <w:b w:val="false"/>
                <w:i w:val="false"/>
                <w:color w:val="000000"/>
                <w:sz w:val="20"/>
              </w:rPr>
              <w:t>
A6: Содействовать участию государств-членов, включая разработку проекта декларации министров посредством онлайн и личных встреч, и организовать участие старших делегаций (министерского уровня и старших должностных лиц) членов и ассоциированных членов ЭСКАТО для участия в Азиатско-Тихоокеанском регионе. Министерская конференция 2024 года в Казахстане и достижение регионального политического консенсуса по вопросам цифровой трансформации и охвата цифровыми технологиями.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74"/>
          <w:p>
            <w:pPr>
              <w:spacing w:after="20"/>
              <w:ind w:left="20"/>
              <w:jc w:val="both"/>
            </w:pPr>
            <w:r>
              <w:rPr>
                <w:rFonts w:ascii="Times New Roman"/>
                <w:b w:val="false"/>
                <w:i w:val="false"/>
                <w:color w:val="000000"/>
                <w:sz w:val="20"/>
              </w:rPr>
              <w:t>
</w:t>
            </w:r>
            <w:r>
              <w:rPr>
                <w:rFonts w:ascii="Times New Roman"/>
                <w:b/>
                <w:i w:val="false"/>
                <w:color w:val="000000"/>
                <w:sz w:val="20"/>
              </w:rPr>
              <w:t>Мероприятие 7 (Обмен результатами и продвижение результатов)</w:t>
            </w:r>
          </w:p>
          <w:bookmarkEnd w:id="274"/>
          <w:p>
            <w:pPr>
              <w:spacing w:after="20"/>
              <w:ind w:left="20"/>
              <w:jc w:val="both"/>
            </w:pPr>
            <w:r>
              <w:rPr>
                <w:rFonts w:ascii="Times New Roman"/>
                <w:b w:val="false"/>
                <w:i w:val="false"/>
                <w:color w:val="000000"/>
                <w:sz w:val="20"/>
              </w:rPr>
              <w:t>
A7: Распространить план, ключевые результаты и уроки, извлеченные из Министерской конференции 2024 года, среди глобальных и региональных заинтересованных сторон, таких как заседания Межведомственной рабочей группы по ИКТ в 2024-2026 годах, Рабочая группа СПЕКА по инновациям и технологиям в 2024-2026 годах, заседания Руководящего комитета APIS в 2024-2026 годах и другие региональные мероприятия.</w:t>
            </w:r>
          </w:p>
        </w:tc>
      </w:tr>
    </w:tbl>
    <w:bookmarkStart w:name="z374" w:id="275"/>
    <w:p>
      <w:pPr>
        <w:spacing w:after="0"/>
        <w:ind w:left="0"/>
        <w:jc w:val="left"/>
      </w:pPr>
      <w:r>
        <w:rPr>
          <w:rFonts w:ascii="Times New Roman"/>
          <w:b/>
          <w:i w:val="false"/>
          <w:color w:val="000000"/>
        </w:rPr>
        <w:t xml:space="preserve"> Бюджет проекта</w:t>
      </w:r>
    </w:p>
    <w:bookmarkEnd w:id="275"/>
    <w:bookmarkStart w:name="z375" w:id="276"/>
    <w:p>
      <w:pPr>
        <w:spacing w:after="0"/>
        <w:ind w:left="0"/>
        <w:jc w:val="left"/>
      </w:pPr>
      <w:r>
        <w:rPr>
          <w:rFonts w:ascii="Times New Roman"/>
          <w:b/>
          <w:i w:val="false"/>
          <w:color w:val="000000"/>
        </w:rPr>
        <w:t xml:space="preserve"> Часть 1: Сводная таблица бюджета</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Спонсируемый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и другие расходы на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Контрактные услуги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расходы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839,50долл.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и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мебель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 гранты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330750,00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программируемого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473639,50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поддержку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61573,14 долл. США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Общий бюджет проекта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535212</w:t>
            </w:r>
            <w:r>
              <w:rPr>
                <w:rFonts w:ascii="Times New Roman"/>
                <w:b/>
                <w:i w:val="false"/>
                <w:color w:val="000000"/>
                <w:sz w:val="20"/>
              </w:rPr>
              <w:t>,</w:t>
            </w:r>
            <w:r>
              <w:rPr>
                <w:rFonts w:ascii="Times New Roman"/>
                <w:b/>
                <w:i w:val="false"/>
                <w:color w:val="000000"/>
                <w:sz w:val="20"/>
              </w:rPr>
              <w:t>64</w:t>
            </w:r>
            <w:r>
              <w:rPr>
                <w:rFonts w:ascii="Times New Roman"/>
                <w:b/>
                <w:i w:val="false"/>
                <w:color w:val="000000"/>
                <w:sz w:val="20"/>
              </w:rPr>
              <w:t xml:space="preserve"> долл. США</w:t>
            </w:r>
          </w:p>
        </w:tc>
      </w:tr>
    </w:tbl>
    <w:bookmarkStart w:name="z376" w:id="277"/>
    <w:p>
      <w:pPr>
        <w:spacing w:after="0"/>
        <w:ind w:left="0"/>
        <w:jc w:val="left"/>
      </w:pPr>
      <w:r>
        <w:rPr>
          <w:rFonts w:ascii="Times New Roman"/>
          <w:b/>
          <w:i w:val="false"/>
          <w:color w:val="000000"/>
        </w:rPr>
        <w:t xml:space="preserve"> Часть 2: Координационный сбор</w:t>
      </w:r>
      <w:r>
        <w:rPr>
          <w:rFonts w:ascii="Times New Roman"/>
          <w:b/>
          <w:i w:val="false"/>
          <w:color w:val="000000"/>
          <w:vertAlign w:val="superscript"/>
        </w:rPr>
        <w:t>3</w:t>
      </w:r>
    </w:p>
    <w:bookmarkEnd w:id="277"/>
    <w:p>
      <w:pPr>
        <w:spacing w:after="0"/>
        <w:ind w:left="0"/>
        <w:jc w:val="both"/>
      </w:pPr>
      <w:r>
        <w:rPr>
          <w:rFonts w:ascii="Times New Roman"/>
          <w:b w:val="false"/>
          <w:i w:val="false"/>
          <w:color w:val="000000"/>
          <w:sz w:val="28"/>
        </w:rPr>
        <w:t>
      Неприменимо</w:t>
      </w:r>
    </w:p>
    <w:bookmarkStart w:name="z377" w:id="278"/>
    <w:p>
      <w:pPr>
        <w:spacing w:after="0"/>
        <w:ind w:left="0"/>
        <w:jc w:val="left"/>
      </w:pPr>
      <w:r>
        <w:rPr>
          <w:rFonts w:ascii="Times New Roman"/>
          <w:b/>
          <w:i w:val="false"/>
          <w:color w:val="000000"/>
        </w:rPr>
        <w:t xml:space="preserve"> Часть 3: Описание бюджета</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Персонал и другие расходы на персонал (Класс_010) = 106 050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выполнения задач по разработке отчета APDT, включая разработку основы для цифровых технологий и климата в поддержку мероприятия A3(a) (5 рабочих месяцев x 5000 долл. США в месяц = 20000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выполнения задач по доработке проекта отчета APDT в поддержку мероприятия A3 (a) (4 рабочих месяца x 2500 долл. США в месяц = 10000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выполнения задач по разработке документа ЦЦРУР в поддержку мероприятия A3(b) (3 рабочих месяца x 3333,33 долл. США в месяц = 10000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выполнения задач по разработке исследования (оценки потребностей) в отдельных странах СЦА по цифровым решениям в поддержку мероприятия A3(c) (3 рабочих месяца x 3333,33 долл. США в месяц = 10000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международный/национальный консультант для поддержки сотрудника проекта в сборе и проверке данных для 2 исследований, в редактировании и составлении проектных документов и т. д. в поддержку мероприятий A1-A7 (8 рабочих месяцев x 5000 долл. США в месяц = 40000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международный консультант для оценки проекта </w:t>
            </w:r>
            <w:r>
              <w:rPr>
                <w:rFonts w:ascii="Times New Roman"/>
                <w:b w:val="false"/>
                <w:i w:val="false"/>
                <w:color w:val="000000"/>
                <w:vertAlign w:val="superscript"/>
              </w:rPr>
              <w:t>4</w:t>
            </w:r>
            <w:r>
              <w:rPr>
                <w:rFonts w:ascii="Times New Roman"/>
                <w:b w:val="false"/>
                <w:i w:val="false"/>
                <w:color w:val="000000"/>
                <w:vertAlign w:val="superscript"/>
              </w:rPr>
              <w:t>14</w:t>
            </w:r>
            <w:r>
              <w:rPr>
                <w:rFonts w:ascii="Times New Roman"/>
                <w:b w:val="false"/>
                <w:i w:val="false"/>
                <w:color w:val="000000"/>
                <w:sz w:val="20"/>
              </w:rPr>
              <w:t>, включая транспортные расходы (3 рабочих месяца x 5000 долл. США в месяц = 15000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D: расходы на консультантов (1% гонорара консультантов = 1050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Контрактные услуги (Класс_120) = 36000 долл. США</w:t>
            </w:r>
            <w:r>
              <w:rPr>
                <w:rFonts w:ascii="Times New Roman"/>
                <w:b w:val="false"/>
                <w:i w:val="false"/>
                <w:color w:val="000000"/>
                <w:sz w:val="20"/>
              </w:rPr>
              <w: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индивидуальный подрядчик по услугам устного перевода (англо-русский) для двух личных встреч в поддержку мероприятий A2-A3 (2 раза x 3000 долл. США за раз = 6000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индивидуальный подрядчик для редактирования Отчета о цифровой трансформации в Азиатско-Тихоокеанском регионе и других документов по наращиванию потенциала для мероприятий A1-A5 (10 рабочих месяцев x 2300 долл. США в месяц = 23000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индивидуальный подрядчик для разработки отчета о цифровой трансформации в Азиатско-Тихоокеанском регионе и других документов по наращиванию потенциала для деятельности A1-A5 (2 рабочих месяца x 1500 долл. США в месяц = 3000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в размере 4000 долл. США на оплату пакетов услуг для проведения встреч в отеле/услуг по организации питания (включая услуги по организации питания, аренду конференц-зала, экрана, ЖК-проектор, микрофоны, флипчарты, доску, маркеры, блокнот, комнату для секретариата, комнату для переговоров, подиум, звуковую систему и т. д.) поставщиком услуг, не являющимся членом UNCC, для мероприятий A2-A4 (20 человек X 100 долл. США на человека/2 дня X 2 мероприятия = 4000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операционные и другие прямые затраты (Класс_125) = 800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Ассигнования в размере 800 долл. США на покрытие расходов на связь и прочие расходы по проекту (паушальная сумма = 800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Поездки (Класс_160): = 326000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миссий сотрудников ЭСКАТО с целью организации мероприятий и распространения результатов проекта по мероприятиям A1-A7 (4666,67 долл. США, средняя стоимость миссии x 6 миссий x 2 сотрудника = 56000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едут на 2 очных субрегиональных семинара/консультации для повышения осведомленности и достижения консенсуса для министерской конференции и формирования консенсуса Центра цифровых решений для деятельности A1-A2. (2 дня; средняя стоимость поездки 2500 долл. США х 8 участников х 2 семинара/консультации = 40000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консультанты едут на два очных семинара национального потенциала по технологиям цифровых решений (гибридным) в поддержку мероприятия А5. (2 дня; средняя стоимость поездки 1250 долл. США х 6 участников х 2 семинара/консультации = 15000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едут для разработки декларации министров по деятельности А6. (2 дня; средние командировочные расходы 2500 долл. США х 20 участников х 2 совещания по разработке декларации министров = 95000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едут (включая министров и старших должностных лиц) для участия в министерской конференции по деятельности А6. (3 дня; средняя стоимость поездки 4000 долл. США х 30 участников х 1 мероприятие министерской конференции = 120000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программы (Класс_155): = 60963,50 долл. США.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Расходы на поддержку программ Организации Объединенных Наций - 13%.</w:t>
            </w:r>
          </w:p>
        </w:tc>
      </w:tr>
    </w:tbl>
    <w:p>
      <w:pPr>
        <w:spacing w:after="0"/>
        <w:ind w:left="0"/>
        <w:jc w:val="left"/>
      </w:pP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Что касается отчетности, ЭСКАТО будет сообщать только о сумме проекта (т.е. без учета координационного сбора). Управление по координации развития Организации Объединенных Наций отвечает за отчетность по координационному сбору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Требование Организации Объединенных Наций к проектам финансирования &gt;500 000 долл. США</w:t>
      </w:r>
    </w:p>
    <w:p>
      <w:pPr>
        <w:spacing w:after="0"/>
        <w:ind w:left="0"/>
        <w:jc w:val="both"/>
      </w:pPr>
      <w:r>
        <w:rPr>
          <w:rFonts w:ascii="Times New Roman"/>
          <w:b w:val="false"/>
          <w:i w:val="false"/>
          <w:color w:val="000000"/>
          <w:sz w:val="28"/>
        </w:rPr>
        <w:t>
      Русский текст Соглашения между Правительством Республики Казахстан и Организацией Объединенных Наций об организации Азиатско-Тихоокеанской министерской конференции по цифровой инклюзии и трансформации соответствует английскому языку.</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Первый вице-министр </w:t>
            </w:r>
          </w:p>
          <w:p>
            <w:pPr>
              <w:spacing w:after="20"/>
              <w:ind w:left="20"/>
              <w:jc w:val="both"/>
            </w:pPr>
          </w:p>
          <w:p>
            <w:pPr>
              <w:spacing w:after="20"/>
              <w:ind w:left="20"/>
              <w:jc w:val="both"/>
            </w:pPr>
            <w:r>
              <w:rPr>
                <w:rFonts w:ascii="Times New Roman"/>
                <w:b w:val="false"/>
                <w:i/>
                <w:color w:val="000000"/>
                <w:sz w:val="20"/>
              </w:rPr>
              <w:t xml:space="preserve">цифрового развития, </w:t>
            </w:r>
          </w:p>
          <w:p>
            <w:pPr>
              <w:spacing w:after="20"/>
              <w:ind w:left="20"/>
              <w:jc w:val="both"/>
            </w:pPr>
            <w:r>
              <w:rPr>
                <w:rFonts w:ascii="Times New Roman"/>
                <w:b w:val="false"/>
                <w:i/>
                <w:color w:val="000000"/>
                <w:sz w:val="20"/>
              </w:rPr>
              <w:t xml:space="preserve">инноваций и аэрокосмической промышленности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