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60379" w14:textId="54603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Закон Республики Казахстан "О социальной защите граждан, пострадавших вследствие ядерных испытаний на Семипалатинском испытательном ядерном полигоне"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16 ноября 1999 года N 480-I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Статья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18 декабря 1992 г. "О социальной защите граждан, пострадавших вследствие ядерных испытаний на Семипалатинском испытательном ядерном полигоне" (Ведомости Верховного Совета Республики Казахстан, 1992 г., 23, ст. 560; 1994 г., 8, ст. 140; № 20, ст. 252; Ведомости Парламента Республики Казахстан, 1997 г., 12, ст. 184; 22, ст. 334; 1998 г., 24, ст. 432; 1999 г., 8, ст. 247)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второй статьи 13: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слова "минимальных заработных плат", "минимальной заработной платы" заменить соответственно словами "месячных расчетных показателей", "месячного расчетного показателя";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исключить.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2. Настоящий Закон вводится в действие с 1 января 2000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 Президент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