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d1eb" w14:textId="253d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эскизов предупреждений о вреде потребления табачных изделий и параметров их нанесения на потребительскую упаковку табачной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2016 года № 18</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пункта 27</w:t>
      </w:r>
      <w:r>
        <w:rPr>
          <w:rFonts w:ascii="Times New Roman"/>
          <w:b w:val="false"/>
          <w:i w:val="false"/>
          <w:color w:val="000000"/>
          <w:sz w:val="28"/>
        </w:rPr>
        <w:t xml:space="preserve"> технического регламента Таможенного союза «Технический регламент на табачную продукцию», принятого Решением Совета Евразийской экономической комиссии от 12 ноября 2014 г. № 107, в соответствии с подпунктом 15 </w:t>
      </w:r>
      <w:r>
        <w:rPr>
          <w:rFonts w:ascii="Times New Roman"/>
          <w:b w:val="false"/>
          <w:i w:val="false"/>
          <w:color w:val="000000"/>
          <w:sz w:val="28"/>
        </w:rPr>
        <w:t>пункта 24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30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эскизы</w:t>
      </w:r>
      <w:r>
        <w:rPr>
          <w:rFonts w:ascii="Times New Roman"/>
          <w:b w:val="false"/>
          <w:i w:val="false"/>
          <w:color w:val="000000"/>
          <w:sz w:val="28"/>
        </w:rPr>
        <w:t xml:space="preserve"> предупреждений о вреде потребления табачных изделий и параметры их нанесения на потребительскую упаковку табачной продукции. </w:t>
      </w:r>
      <w:r>
        <w:br/>
      </w:r>
      <w:r>
        <w:rPr>
          <w:rFonts w:ascii="Times New Roman"/>
          <w:b w:val="false"/>
          <w:i w:val="false"/>
          <w:color w:val="000000"/>
          <w:sz w:val="28"/>
        </w:rPr>
        <w:t>
</w:t>
      </w:r>
      <w:r>
        <w:rPr>
          <w:rFonts w:ascii="Times New Roman"/>
          <w:b w:val="false"/>
          <w:i w:val="false"/>
          <w:color w:val="000000"/>
          <w:sz w:val="28"/>
        </w:rPr>
        <w:t>
      2. Коллегии Евразийской экономической комиссии обеспечить размещение на официальном сайте Евразийского экономического союза в информационно-телекоммуникационной сети «Интернет» графических файлов эскизов предупреждений о вреде потребления табачных изделий с разрешением не менее 300 dpi в формате «двух слоев» с текстовой надписью и с растровым изображением.</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Панкратов</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17 марта 2016 г. № 18   </w:t>
      </w:r>
    </w:p>
    <w:bookmarkEnd w:id="1"/>
    <w:bookmarkStart w:name="z6" w:id="2"/>
    <w:p>
      <w:pPr>
        <w:spacing w:after="0"/>
        <w:ind w:left="0"/>
        <w:jc w:val="left"/>
      </w:pPr>
      <w:r>
        <w:rPr>
          <w:rFonts w:ascii="Times New Roman"/>
          <w:b/>
          <w:i w:val="false"/>
          <w:color w:val="000000"/>
        </w:rPr>
        <w:t xml:space="preserve"> 
Эскизы предупреждений о вреде потребления табачных изделий и</w:t>
      </w:r>
      <w:r>
        <w:br/>
      </w:r>
      <w:r>
        <w:rPr>
          <w:rFonts w:ascii="Times New Roman"/>
          <w:b/>
          <w:i w:val="false"/>
          <w:color w:val="000000"/>
        </w:rPr>
        <w:t>
параметры их нанесения на потребительскую упаковку табачной</w:t>
      </w:r>
      <w:r>
        <w:br/>
      </w:r>
      <w:r>
        <w:rPr>
          <w:rFonts w:ascii="Times New Roman"/>
          <w:b/>
          <w:i w:val="false"/>
          <w:color w:val="000000"/>
        </w:rPr>
        <w:t>
продукции</w:t>
      </w:r>
    </w:p>
    <w:bookmarkEnd w:id="2"/>
    <w:bookmarkStart w:name="z7" w:id="3"/>
    <w:p>
      <w:pPr>
        <w:spacing w:after="0"/>
        <w:ind w:left="0"/>
        <w:jc w:val="both"/>
      </w:pPr>
      <w:r>
        <w:rPr>
          <w:rFonts w:ascii="Times New Roman"/>
          <w:b w:val="false"/>
          <w:i w:val="false"/>
          <w:color w:val="000000"/>
          <w:sz w:val="28"/>
        </w:rPr>
        <w:t>
I. Эскизы предупреждений о вреде потребления табачных изделий</w:t>
      </w:r>
    </w:p>
    <w:bookmarkEnd w:id="3"/>
    <w:bookmarkStart w:name="z8" w:id="4"/>
    <w:p>
      <w:pPr>
        <w:spacing w:after="0"/>
        <w:ind w:left="0"/>
        <w:jc w:val="both"/>
      </w:pPr>
      <w:r>
        <w:rPr>
          <w:rFonts w:ascii="Times New Roman"/>
          <w:b w:val="false"/>
          <w:i w:val="false"/>
          <w:color w:val="000000"/>
          <w:sz w:val="28"/>
        </w:rPr>
        <w:t>
1. Эскизы предупреждений о вреде потребления табачных изделий для</w:t>
      </w:r>
      <w:r>
        <w:br/>
      </w:r>
      <w:r>
        <w:rPr>
          <w:rFonts w:ascii="Times New Roman"/>
          <w:b w:val="false"/>
          <w:i w:val="false"/>
          <w:color w:val="000000"/>
          <w:sz w:val="28"/>
        </w:rPr>
        <w:t>
нанесения на лицевую сторону потребительской упаковки табачной</w:t>
      </w:r>
      <w:r>
        <w:br/>
      </w:r>
      <w:r>
        <w:rPr>
          <w:rFonts w:ascii="Times New Roman"/>
          <w:b w:val="false"/>
          <w:i w:val="false"/>
          <w:color w:val="000000"/>
          <w:sz w:val="28"/>
        </w:rPr>
        <w:t>
продукции</w:t>
      </w:r>
    </w:p>
    <w:bookmarkEnd w:id="4"/>
    <w:p>
      <w:pPr>
        <w:spacing w:after="0"/>
        <w:ind w:left="0"/>
        <w:jc w:val="both"/>
      </w:pPr>
      <w:r>
        <w:rPr>
          <w:rFonts w:ascii="Times New Roman"/>
          <w:b w:val="false"/>
          <w:i w:val="false"/>
          <w:color w:val="000000"/>
          <w:sz w:val="28"/>
        </w:rPr>
        <w:t>При реализации табачной продукции на территории Республики Армения</w:t>
      </w:r>
    </w:p>
    <w:p>
      <w:pPr>
        <w:spacing w:after="0"/>
        <w:ind w:left="0"/>
        <w:jc w:val="both"/>
      </w:pPr>
      <w:r>
        <w:drawing>
          <wp:inline distT="0" distB="0" distL="0" distR="0">
            <wp:extent cx="122936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93600" cy="7518400"/>
                    </a:xfrm>
                    <a:prstGeom prst="rect">
                      <a:avLst/>
                    </a:prstGeom>
                  </pic:spPr>
                </pic:pic>
              </a:graphicData>
            </a:graphic>
          </wp:inline>
        </w:drawing>
      </w:r>
    </w:p>
    <w:p>
      <w:pPr>
        <w:spacing w:after="0"/>
        <w:ind w:left="0"/>
        <w:jc w:val="both"/>
      </w:pPr>
      <w:r>
        <w:rPr>
          <w:rFonts w:ascii="Times New Roman"/>
          <w:b w:val="false"/>
          <w:i w:val="false"/>
          <w:color w:val="000000"/>
          <w:sz w:val="28"/>
        </w:rPr>
        <w:t>При реализации табачной продукции на территории Республики</w:t>
      </w:r>
      <w:r>
        <w:br/>
      </w:r>
      <w:r>
        <w:rPr>
          <w:rFonts w:ascii="Times New Roman"/>
          <w:b w:val="false"/>
          <w:i w:val="false"/>
          <w:color w:val="000000"/>
          <w:sz w:val="28"/>
        </w:rPr>
        <w:t>
Беларусь</w:t>
      </w:r>
    </w:p>
    <w:p>
      <w:pPr>
        <w:spacing w:after="0"/>
        <w:ind w:left="0"/>
        <w:jc w:val="both"/>
      </w:pPr>
      <w:r>
        <w:drawing>
          <wp:inline distT="0" distB="0" distL="0" distR="0">
            <wp:extent cx="122936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7175500"/>
                    </a:xfrm>
                    <a:prstGeom prst="rect">
                      <a:avLst/>
                    </a:prstGeom>
                  </pic:spPr>
                </pic:pic>
              </a:graphicData>
            </a:graphic>
          </wp:inline>
        </w:drawing>
      </w:r>
    </w:p>
    <w:p>
      <w:pPr>
        <w:spacing w:after="0"/>
        <w:ind w:left="0"/>
        <w:jc w:val="both"/>
      </w:pPr>
      <w:r>
        <w:rPr>
          <w:rFonts w:ascii="Times New Roman"/>
          <w:b w:val="false"/>
          <w:i w:val="false"/>
          <w:color w:val="000000"/>
          <w:sz w:val="28"/>
        </w:rPr>
        <w:t>При реализации табачной продукции на территории Республики</w:t>
      </w:r>
      <w:r>
        <w:br/>
      </w:r>
      <w:r>
        <w:rPr>
          <w:rFonts w:ascii="Times New Roman"/>
          <w:b w:val="false"/>
          <w:i w:val="false"/>
          <w:color w:val="000000"/>
          <w:sz w:val="28"/>
        </w:rPr>
        <w:t>
Казахстан</w:t>
      </w:r>
    </w:p>
    <w:p>
      <w:pPr>
        <w:spacing w:after="0"/>
        <w:ind w:left="0"/>
        <w:jc w:val="both"/>
      </w:pPr>
      <w:r>
        <w:drawing>
          <wp:inline distT="0" distB="0" distL="0" distR="0">
            <wp:extent cx="122936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293600" cy="7518400"/>
                    </a:xfrm>
                    <a:prstGeom prst="rect">
                      <a:avLst/>
                    </a:prstGeom>
                  </pic:spPr>
                </pic:pic>
              </a:graphicData>
            </a:graphic>
          </wp:inline>
        </w:drawing>
      </w:r>
    </w:p>
    <w:p>
      <w:pPr>
        <w:spacing w:after="0"/>
        <w:ind w:left="0"/>
        <w:jc w:val="both"/>
      </w:pPr>
      <w:r>
        <w:rPr>
          <w:rFonts w:ascii="Times New Roman"/>
          <w:b w:val="false"/>
          <w:i w:val="false"/>
          <w:color w:val="000000"/>
          <w:sz w:val="28"/>
        </w:rPr>
        <w:t>При реализации табачной продукции на территории Кыргызской</w:t>
      </w:r>
      <w:r>
        <w:br/>
      </w:r>
      <w:r>
        <w:rPr>
          <w:rFonts w:ascii="Times New Roman"/>
          <w:b w:val="false"/>
          <w:i w:val="false"/>
          <w:color w:val="000000"/>
          <w:sz w:val="28"/>
        </w:rPr>
        <w:t xml:space="preserve">
Республики </w:t>
      </w:r>
    </w:p>
    <w:p>
      <w:pPr>
        <w:spacing w:after="0"/>
        <w:ind w:left="0"/>
        <w:jc w:val="both"/>
      </w:pPr>
      <w:r>
        <w:drawing>
          <wp:inline distT="0" distB="0" distL="0" distR="0">
            <wp:extent cx="12446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0" cy="5778500"/>
                    </a:xfrm>
                    <a:prstGeom prst="rect">
                      <a:avLst/>
                    </a:prstGeom>
                  </pic:spPr>
                </pic:pic>
              </a:graphicData>
            </a:graphic>
          </wp:inline>
        </w:drawing>
      </w:r>
    </w:p>
    <w:p>
      <w:pPr>
        <w:spacing w:after="0"/>
        <w:ind w:left="0"/>
        <w:jc w:val="both"/>
      </w:pPr>
      <w:r>
        <w:drawing>
          <wp:inline distT="0" distB="0" distL="0" distR="0">
            <wp:extent cx="125349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534900" cy="2578100"/>
                    </a:xfrm>
                    <a:prstGeom prst="rect">
                      <a:avLst/>
                    </a:prstGeom>
                  </pic:spPr>
                </pic:pic>
              </a:graphicData>
            </a:graphic>
          </wp:inline>
        </w:drawing>
      </w:r>
    </w:p>
    <w:bookmarkStart w:name="z9" w:id="5"/>
    <w:p>
      <w:pPr>
        <w:spacing w:after="0"/>
        <w:ind w:left="0"/>
        <w:jc w:val="both"/>
      </w:pPr>
      <w:r>
        <w:rPr>
          <w:rFonts w:ascii="Times New Roman"/>
          <w:b w:val="false"/>
          <w:i w:val="false"/>
          <w:color w:val="000000"/>
          <w:sz w:val="28"/>
        </w:rPr>
        <w:t>
2. Эскизы предупреждений о вреде потребления табачных изделий</w:t>
      </w:r>
      <w:r>
        <w:br/>
      </w:r>
      <w:r>
        <w:rPr>
          <w:rFonts w:ascii="Times New Roman"/>
          <w:b w:val="false"/>
          <w:i w:val="false"/>
          <w:color w:val="000000"/>
          <w:sz w:val="28"/>
        </w:rPr>
        <w:t>
для нанесения на обратную сторону потребительской упаковки табачной</w:t>
      </w:r>
      <w:r>
        <w:br/>
      </w:r>
      <w:r>
        <w:rPr>
          <w:rFonts w:ascii="Times New Roman"/>
          <w:b w:val="false"/>
          <w:i w:val="false"/>
          <w:color w:val="000000"/>
          <w:sz w:val="28"/>
        </w:rPr>
        <w:t>
продукции при реализации табачной продукции на территориях Республики</w:t>
      </w:r>
      <w:r>
        <w:br/>
      </w:r>
      <w:r>
        <w:rPr>
          <w:rFonts w:ascii="Times New Roman"/>
          <w:b w:val="false"/>
          <w:i w:val="false"/>
          <w:color w:val="000000"/>
          <w:sz w:val="28"/>
        </w:rPr>
        <w:t>
Армения, Республики Беларусь, Республики Казахстан</w:t>
      </w:r>
    </w:p>
    <w:bookmarkEnd w:id="5"/>
    <w:p>
      <w:pPr>
        <w:spacing w:after="0"/>
        <w:ind w:left="0"/>
        <w:jc w:val="both"/>
      </w:pPr>
      <w:r>
        <w:drawing>
          <wp:inline distT="0" distB="0" distL="0" distR="0">
            <wp:extent cx="123063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06300" cy="7264400"/>
                    </a:xfrm>
                    <a:prstGeom prst="rect">
                      <a:avLst/>
                    </a:prstGeom>
                  </pic:spPr>
                </pic:pic>
              </a:graphicData>
            </a:graphic>
          </wp:inline>
        </w:drawing>
      </w:r>
    </w:p>
    <w:bookmarkStart w:name="z10" w:id="6"/>
    <w:p>
      <w:pPr>
        <w:spacing w:after="0"/>
        <w:ind w:left="0"/>
        <w:jc w:val="both"/>
      </w:pPr>
      <w:r>
        <w:rPr>
          <w:rFonts w:ascii="Times New Roman"/>
          <w:b w:val="false"/>
          <w:i w:val="false"/>
          <w:color w:val="000000"/>
          <w:sz w:val="28"/>
        </w:rPr>
        <w:t>
3. Эскизы предупреждений о вреде потребления табачных изделий</w:t>
      </w:r>
      <w:r>
        <w:br/>
      </w:r>
      <w:r>
        <w:rPr>
          <w:rFonts w:ascii="Times New Roman"/>
          <w:b w:val="false"/>
          <w:i w:val="false"/>
          <w:color w:val="000000"/>
          <w:sz w:val="28"/>
        </w:rPr>
        <w:t>
для нанесения на обратную сторону потребительской упаковки табачной</w:t>
      </w:r>
      <w:r>
        <w:br/>
      </w:r>
      <w:r>
        <w:rPr>
          <w:rFonts w:ascii="Times New Roman"/>
          <w:b w:val="false"/>
          <w:i w:val="false"/>
          <w:color w:val="000000"/>
          <w:sz w:val="28"/>
        </w:rPr>
        <w:t>
продукции при реализации табачной продукции на территории Кыргызской</w:t>
      </w:r>
      <w:r>
        <w:br/>
      </w:r>
      <w:r>
        <w:rPr>
          <w:rFonts w:ascii="Times New Roman"/>
          <w:b w:val="false"/>
          <w:i w:val="false"/>
          <w:color w:val="000000"/>
          <w:sz w:val="28"/>
        </w:rPr>
        <w:t>
Республики</w:t>
      </w:r>
    </w:p>
    <w:bookmarkEnd w:id="6"/>
    <w:p>
      <w:pPr>
        <w:spacing w:after="0"/>
        <w:ind w:left="0"/>
        <w:jc w:val="both"/>
      </w:pPr>
      <w:r>
        <w:drawing>
          <wp:inline distT="0" distB="0" distL="0" distR="0">
            <wp:extent cx="124333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33300" cy="5664200"/>
                    </a:xfrm>
                    <a:prstGeom prst="rect">
                      <a:avLst/>
                    </a:prstGeom>
                  </pic:spPr>
                </pic:pic>
              </a:graphicData>
            </a:graphic>
          </wp:inline>
        </w:drawing>
      </w:r>
    </w:p>
    <w:p>
      <w:pPr>
        <w:spacing w:after="0"/>
        <w:ind w:left="0"/>
        <w:jc w:val="both"/>
      </w:pPr>
      <w:r>
        <w:drawing>
          <wp:inline distT="0" distB="0" distL="0" distR="0">
            <wp:extent cx="12496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96800" cy="2565400"/>
                    </a:xfrm>
                    <a:prstGeom prst="rect">
                      <a:avLst/>
                    </a:prstGeom>
                  </pic:spPr>
                </pic:pic>
              </a:graphicData>
            </a:graphic>
          </wp:inline>
        </w:drawing>
      </w:r>
    </w:p>
    <w:bookmarkStart w:name="z11" w:id="7"/>
    <w:p>
      <w:pPr>
        <w:spacing w:after="0"/>
        <w:ind w:left="0"/>
        <w:jc w:val="both"/>
      </w:pPr>
      <w:r>
        <w:rPr>
          <w:rFonts w:ascii="Times New Roman"/>
          <w:b w:val="false"/>
          <w:i w:val="false"/>
          <w:color w:val="000000"/>
          <w:sz w:val="28"/>
        </w:rPr>
        <w:t>
4. Эскизы предупреждений о вреде потребления табачных изделий</w:t>
      </w:r>
      <w:r>
        <w:br/>
      </w:r>
      <w:r>
        <w:rPr>
          <w:rFonts w:ascii="Times New Roman"/>
          <w:b w:val="false"/>
          <w:i w:val="false"/>
          <w:color w:val="000000"/>
          <w:sz w:val="28"/>
        </w:rPr>
        <w:t>
для нанесения на лицевую и обратную стороны потребительской упаковки</w:t>
      </w:r>
      <w:r>
        <w:br/>
      </w:r>
      <w:r>
        <w:rPr>
          <w:rFonts w:ascii="Times New Roman"/>
          <w:b w:val="false"/>
          <w:i w:val="false"/>
          <w:color w:val="000000"/>
          <w:sz w:val="28"/>
        </w:rPr>
        <w:t>
табачной продукции при реализации табачной продукции на территории</w:t>
      </w:r>
      <w:r>
        <w:br/>
      </w:r>
      <w:r>
        <w:rPr>
          <w:rFonts w:ascii="Times New Roman"/>
          <w:b w:val="false"/>
          <w:i w:val="false"/>
          <w:color w:val="000000"/>
          <w:sz w:val="28"/>
        </w:rPr>
        <w:t>
Российской Федерации</w:t>
      </w:r>
    </w:p>
    <w:bookmarkEnd w:id="7"/>
    <w:p>
      <w:pPr>
        <w:spacing w:after="0"/>
        <w:ind w:left="0"/>
        <w:jc w:val="both"/>
      </w:pPr>
      <w:r>
        <w:drawing>
          <wp:inline distT="0" distB="0" distL="0" distR="0">
            <wp:extent cx="12382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382500" cy="78740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II. Параметры нанесения эскизов предупреждений о вреде</w:t>
      </w:r>
      <w:r>
        <w:br/>
      </w:r>
      <w:r>
        <w:rPr>
          <w:rFonts w:ascii="Times New Roman"/>
          <w:b w:val="false"/>
          <w:i w:val="false"/>
          <w:color w:val="000000"/>
          <w:sz w:val="28"/>
        </w:rPr>
        <w:t>
потребления табачных изделий на потребительскую упаковку табачной</w:t>
      </w:r>
      <w:r>
        <w:br/>
      </w:r>
      <w:r>
        <w:rPr>
          <w:rFonts w:ascii="Times New Roman"/>
          <w:b w:val="false"/>
          <w:i w:val="false"/>
          <w:color w:val="000000"/>
          <w:sz w:val="28"/>
        </w:rPr>
        <w:t xml:space="preserve">
продукции </w:t>
      </w:r>
    </w:p>
    <w:bookmarkEnd w:id="8"/>
    <w:bookmarkStart w:name="z13" w:id="9"/>
    <w:p>
      <w:pPr>
        <w:spacing w:after="0"/>
        <w:ind w:left="0"/>
        <w:jc w:val="both"/>
      </w:pPr>
      <w:r>
        <w:rPr>
          <w:rFonts w:ascii="Times New Roman"/>
          <w:b w:val="false"/>
          <w:i w:val="false"/>
          <w:color w:val="000000"/>
          <w:sz w:val="28"/>
        </w:rPr>
        <w:t>
      1. Разрешение эскизов предупреждений о вреде потребления табачных изделий (далее – предупреждения) составляет не менее 300 dpi.</w:t>
      </w:r>
      <w:r>
        <w:br/>
      </w:r>
      <w:r>
        <w:rPr>
          <w:rFonts w:ascii="Times New Roman"/>
          <w:b w:val="false"/>
          <w:i w:val="false"/>
          <w:color w:val="000000"/>
          <w:sz w:val="28"/>
        </w:rPr>
        <w:t>
</w:t>
      </w:r>
      <w:r>
        <w:rPr>
          <w:rFonts w:ascii="Times New Roman"/>
          <w:b w:val="false"/>
          <w:i w:val="false"/>
          <w:color w:val="000000"/>
          <w:sz w:val="28"/>
        </w:rPr>
        <w:t>
      2. В случае если соотношение высоты к ширине лицевой или обратной основных сторон потребительской упаковки табачной продукции (далее – потребительская упаковка) составляет менее 1,28, то:</w:t>
      </w:r>
      <w:r>
        <w:br/>
      </w:r>
      <w:r>
        <w:rPr>
          <w:rFonts w:ascii="Times New Roman"/>
          <w:b w:val="false"/>
          <w:i w:val="false"/>
          <w:color w:val="000000"/>
          <w:sz w:val="28"/>
        </w:rPr>
        <w:t>
      размеры предупреждения изменяются таким образом, чтобы площадь предупреждения составляла не менее 50 процентов площади каждой из основных сторон потребительской упаковки;</w:t>
      </w:r>
      <w:r>
        <w:br/>
      </w:r>
      <w:r>
        <w:rPr>
          <w:rFonts w:ascii="Times New Roman"/>
          <w:b w:val="false"/>
          <w:i w:val="false"/>
          <w:color w:val="000000"/>
          <w:sz w:val="28"/>
        </w:rPr>
        <w:t>
      предупреждение размещается в левом верхнем углу лицевой и обратной основных сторон потребительской упаковки. На обратной основной стороне потребительской упаковки предупреждение, если оно перекрывается маркой или разрушается при обычном открывании потребительской упаковки, размещается в левом нижнем углу.</w:t>
      </w:r>
      <w:r>
        <w:br/>
      </w:r>
      <w:r>
        <w:rPr>
          <w:rFonts w:ascii="Times New Roman"/>
          <w:b w:val="false"/>
          <w:i w:val="false"/>
          <w:color w:val="000000"/>
          <w:sz w:val="28"/>
        </w:rPr>
        <w:t>
      При этом допускается изменение пропорций наносимого предупреждения не более чем на 20 процентов по отношению к пропорциям утвержденных эскизов предупреждений.</w:t>
      </w:r>
      <w:r>
        <w:br/>
      </w:r>
      <w:r>
        <w:rPr>
          <w:rFonts w:ascii="Times New Roman"/>
          <w:b w:val="false"/>
          <w:i w:val="false"/>
          <w:color w:val="000000"/>
          <w:sz w:val="28"/>
        </w:rPr>
        <w:t>
</w:t>
      </w:r>
      <w:r>
        <w:rPr>
          <w:rFonts w:ascii="Times New Roman"/>
          <w:b w:val="false"/>
          <w:i w:val="false"/>
          <w:color w:val="000000"/>
          <w:sz w:val="28"/>
        </w:rPr>
        <w:t>
      3. В случае если соотношение высоты к ширине лицевой или обратной основных сторон потребительской упаковки составляет более 1,28 и менее 1,92, то размеры предупреждения изменяются таким образом, чтобы площадь предупреждения составляла не менее 50 процентов площади каждой из основных сторон потребительской упаковки. При этом допускается изменение пропорций наносимого предупреждения не более чем на 20 процентов по отношению к пропорциям утвержденных эскизов предупреждений.</w:t>
      </w:r>
      <w:r>
        <w:br/>
      </w:r>
      <w:r>
        <w:rPr>
          <w:rFonts w:ascii="Times New Roman"/>
          <w:b w:val="false"/>
          <w:i w:val="false"/>
          <w:color w:val="000000"/>
          <w:sz w:val="28"/>
        </w:rPr>
        <w:t>
</w:t>
      </w:r>
      <w:r>
        <w:rPr>
          <w:rFonts w:ascii="Times New Roman"/>
          <w:b w:val="false"/>
          <w:i w:val="false"/>
          <w:color w:val="000000"/>
          <w:sz w:val="28"/>
        </w:rPr>
        <w:t xml:space="preserve">
      4. В случае если соотношение высоты к ширине лицевой или обратной основных сторон потребительской упаковки составляет более 1,92, то: </w:t>
      </w:r>
      <w:r>
        <w:br/>
      </w:r>
      <w:r>
        <w:rPr>
          <w:rFonts w:ascii="Times New Roman"/>
          <w:b w:val="false"/>
          <w:i w:val="false"/>
          <w:color w:val="000000"/>
          <w:sz w:val="28"/>
        </w:rPr>
        <w:t>
      предупреждение размещается в верхней части лицевой и обратной основных сторон потребительской упаковки. На обратной основной стороне потребительской упаковки предупреждение, если оно перекрывается маркой или разрушается при обычном открывании потребительской упаковки, располагается в нижней части;</w:t>
      </w:r>
      <w:r>
        <w:br/>
      </w:r>
      <w:r>
        <w:rPr>
          <w:rFonts w:ascii="Times New Roman"/>
          <w:b w:val="false"/>
          <w:i w:val="false"/>
          <w:color w:val="000000"/>
          <w:sz w:val="28"/>
        </w:rPr>
        <w:t>
      размеры предупреждения изменяются таким образом, чтобы его ширина соответствовала ширине потребительской упаковки;</w:t>
      </w:r>
      <w:r>
        <w:br/>
      </w:r>
      <w:r>
        <w:rPr>
          <w:rFonts w:ascii="Times New Roman"/>
          <w:b w:val="false"/>
          <w:i w:val="false"/>
          <w:color w:val="000000"/>
          <w:sz w:val="28"/>
        </w:rPr>
        <w:t>
      площадь, не занятая предупреждением, но отведенная под предупреждение, располагается ниже предупреждения и заливается на ширину основной стороны потребительской упаковки цветом, соответствующим цвету Pantone 448С. Площадь, занятая предупреждением, и площадь, залитая цветом, соответствующим цвету Pantone 448С, в совокупности должны составлять не менее 50 процентов площади каждой из основных сторон потребительской упаковки;</w:t>
      </w:r>
      <w:r>
        <w:br/>
      </w:r>
      <w:r>
        <w:rPr>
          <w:rFonts w:ascii="Times New Roman"/>
          <w:b w:val="false"/>
          <w:i w:val="false"/>
          <w:color w:val="000000"/>
          <w:sz w:val="28"/>
        </w:rPr>
        <w:t>
      текст (часть текста) предупреждения переносится (без разрыва слов) на площадь, залитую цветом, соответствующим цвету Pantone 448С. Такой текст (часть текста) предупреждения равномерно распределяется по всей площади, на которой он размещается, наносится прописными буквами белого цвета, жирным, четким, легко читаемым шрифтом, размер которого должен быть увеличен так, чтобы самая длинная строка достигала края места размещения, если такое возможно. Междустрочный интервал не должен превышать высоту шрифта.</w:t>
      </w:r>
      <w:r>
        <w:br/>
      </w:r>
      <w:r>
        <w:rPr>
          <w:rFonts w:ascii="Times New Roman"/>
          <w:b w:val="false"/>
          <w:i w:val="false"/>
          <w:color w:val="000000"/>
          <w:sz w:val="28"/>
        </w:rPr>
        <w:t>
      При этом допускается изменение пропорций наносимого цветного рисунка или фотоизображения (включающего или не включающего текст) не более чем на 20 процентов по отношению к пропорциям утвержденных эскизов предупреждений.</w:t>
      </w:r>
      <w:r>
        <w:br/>
      </w:r>
      <w:r>
        <w:rPr>
          <w:rFonts w:ascii="Times New Roman"/>
          <w:b w:val="false"/>
          <w:i w:val="false"/>
          <w:color w:val="000000"/>
          <w:sz w:val="28"/>
        </w:rPr>
        <w:t>
</w:t>
      </w:r>
      <w:r>
        <w:rPr>
          <w:rFonts w:ascii="Times New Roman"/>
          <w:b w:val="false"/>
          <w:i w:val="false"/>
          <w:color w:val="000000"/>
          <w:sz w:val="28"/>
        </w:rPr>
        <w:t>
      5. В случае если при обычном открывании потребительской упаковки нарушается целостность текста предупреждения, то текст (слово, которое разрывается), может быть сдвинут вниз под линию разрыва с выравниваем горизонтально по центру предупреждения. Предупреждение, размещенное с обратной основной стороны потребительской упаковки, может частично перекрываться маркой.</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