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6947" w14:textId="cf96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60 сессиясының 2021 жылғы 5 қаңтардағы № 4 "2021-2023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11 қарашадағы № 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60 сессиясының 2021 жылғы 5 қаңтардағы №4 "2021-2023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№6146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239 597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22 554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217 043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247 008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148 001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9 288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138 713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151 032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163 931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89 966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73 965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167 013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3 082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123 968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22 717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101 251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136 652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12 684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93 638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16 365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77 273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97 700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55 857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53 433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57 082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1 225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66 513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4 034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62 479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69 514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3 001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55 473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53 107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56 749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1 276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86 552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4 510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81 652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88 929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179 268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22 753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156 515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189 770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10 502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42 081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41 188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42 769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41 866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981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40 885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42 254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25 897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39 848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1 030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38 818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40 079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42 829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996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41 833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42 935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54 620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53 870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55 035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2021-2023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42 950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1 996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40 954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44 091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1 141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2021-2023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56 889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936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55 953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57 285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мың теңге.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2021-2023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57 235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1 202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56 033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57 432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2021-2023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67 243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1 840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65 403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67 645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2021-2023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52 822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51 572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53 419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2021-2023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57 033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2 271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319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54 443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57 288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2021-2023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68 241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5 357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62 884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69 708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1 467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2021-2023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67 902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3 171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64 731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68 376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2021-2023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35 718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216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35 502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35 760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–24 317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2021-2023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40 845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3 074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37 771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41 436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2021-2023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64 203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1 870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62 333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64 639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2021-2023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40 522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1 067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39 455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41 023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2021-2023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60 272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2 410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57 862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60 971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2021-2023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39 426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1 340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38 086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39 882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3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4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4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4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 жырау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5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ауылының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5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5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5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6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6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69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7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7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7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81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584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58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59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