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93d77" w14:textId="9893d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Сауран ауданының аумағында жергілікті қоғамдастықтың бөлек жиындарын өткізудің қағидасын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Түркістан облысы Сауран аудандық мәслихатының 2024 жылғы 2 ақпандағы № 116 шешімі</w:t>
      </w:r>
    </w:p>
    <w:p>
      <w:pPr>
        <w:spacing w:after="0"/>
        <w:ind w:left="0"/>
        <w:jc w:val="both"/>
      </w:pPr>
      <w:bookmarkStart w:name="z1"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Сауран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Сауран ауданының аумағында жергілікті қоғамдастықтың бөлек жиындарын өткізудің қағидасы бекітілсін. </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Сауран ауданының құрамындағы ауылдық округтерінің жергілікті қоғамдастық жиынына қатысу үшін аудан құрамындағы 12 ауылдық округ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Сауран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С.Байсбаев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аудандық мәслихатының</w:t>
            </w:r>
            <w:r>
              <w:br/>
            </w:r>
            <w:r>
              <w:rPr>
                <w:rFonts w:ascii="Times New Roman"/>
                <w:b w:val="false"/>
                <w:i w:val="false"/>
                <w:color w:val="000000"/>
                <w:sz w:val="20"/>
              </w:rPr>
              <w:t>2024 жылғы 2 ақпандағы</w:t>
            </w:r>
            <w:r>
              <w:br/>
            </w:r>
            <w:r>
              <w:rPr>
                <w:rFonts w:ascii="Times New Roman"/>
                <w:b w:val="false"/>
                <w:i w:val="false"/>
                <w:color w:val="000000"/>
                <w:sz w:val="20"/>
              </w:rPr>
              <w:t>№116 шешіміне 1-қосымша</w:t>
            </w:r>
          </w:p>
        </w:tc>
      </w:tr>
    </w:tbl>
    <w:bookmarkStart w:name="z6" w:id="4"/>
    <w:p>
      <w:pPr>
        <w:spacing w:after="0"/>
        <w:ind w:left="0"/>
        <w:jc w:val="left"/>
      </w:pPr>
      <w:r>
        <w:rPr>
          <w:rFonts w:ascii="Times New Roman"/>
          <w:b/>
          <w:i w:val="false"/>
          <w:color w:val="000000"/>
        </w:rPr>
        <w:t xml:space="preserve"> Сауран ауданында жергілікті қоғамдастықтың бөлек жиындарын өткізу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Осы Сауран ауданында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және Қазақстан Республикасы Ұлттық экономика министрінің 2023 жылғы 23 маусымдағы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үлгілік қағидаларына сәйкес әзірленді және аудандық маңызы бар қала, ауыл, кент, ауылдық округ тұрғындарының жергілікті қоғамдастығының бөлек жиындарын өткізу тәртібін белгілейді.</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7"/>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Start w:name="z10" w:id="8"/>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8"/>
    <w:bookmarkStart w:name="z11" w:id="9"/>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bookmarkEnd w:id="9"/>
    <w:bookmarkStart w:name="z12"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
    <w:bookmarkStart w:name="z13" w:id="11"/>
    <w:p>
      <w:pPr>
        <w:spacing w:after="0"/>
        <w:ind w:left="0"/>
        <w:jc w:val="both"/>
      </w:pPr>
      <w:r>
        <w:rPr>
          <w:rFonts w:ascii="Times New Roman"/>
          <w:b w:val="false"/>
          <w:i w:val="false"/>
          <w:color w:val="000000"/>
          <w:sz w:val="28"/>
        </w:rPr>
        <w:t>
      5. Аудандық маңызы бар қаланың, ауылдың, кенттің және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w:t>
      </w:r>
    </w:p>
    <w:bookmarkEnd w:id="11"/>
    <w:p>
      <w:pPr>
        <w:spacing w:after="0"/>
        <w:ind w:left="0"/>
        <w:jc w:val="both"/>
      </w:pPr>
      <w:r>
        <w:rPr>
          <w:rFonts w:ascii="Times New Roman"/>
          <w:b w:val="false"/>
          <w:i w:val="false"/>
          <w:color w:val="000000"/>
          <w:sz w:val="28"/>
        </w:rPr>
        <w:t>
      Көше шегінде көппәтерлі үйлер болған кезде көппәтерлі үйдің бөлек жиындары жүргізілмейді.</w:t>
      </w:r>
    </w:p>
    <w:bookmarkStart w:name="z14" w:id="12"/>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аудандық маңызы бар қаланың, ауылдың, кенттің,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2"/>
    <w:bookmarkStart w:name="z15" w:id="13"/>
    <w:p>
      <w:pPr>
        <w:spacing w:after="0"/>
        <w:ind w:left="0"/>
        <w:jc w:val="both"/>
      </w:pPr>
      <w:r>
        <w:rPr>
          <w:rFonts w:ascii="Times New Roman"/>
          <w:b w:val="false"/>
          <w:i w:val="false"/>
          <w:color w:val="000000"/>
          <w:sz w:val="28"/>
        </w:rPr>
        <w:t>
      7. Жергілікті қоғамдастықтың бөлек жиынын ашудың алдында тиісті көшеден қатысып отырған тұрғындарын тіркеу жүргізіледі.</w:t>
      </w:r>
    </w:p>
    <w:bookmarkEnd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көшеде тұратын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8. Жергілікті қоғамдастықтың бөлек жиынын аудандық маңызы бар қаланың, ауылдың, кенттің, ауылдық округтің әкімі немесе ол уәкілеттік берген тұлға ашады.</w:t>
      </w:r>
    </w:p>
    <w:bookmarkEnd w:id="14"/>
    <w:p>
      <w:pPr>
        <w:spacing w:after="0"/>
        <w:ind w:left="0"/>
        <w:jc w:val="both"/>
      </w:pPr>
      <w:r>
        <w:rPr>
          <w:rFonts w:ascii="Times New Roman"/>
          <w:b w:val="false"/>
          <w:i w:val="false"/>
          <w:color w:val="000000"/>
          <w:sz w:val="28"/>
        </w:rPr>
        <w:t>
      Аудандық маңызы бар қаланың, ауылдың, кенттің, ауылдық округтің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7" w:id="15"/>
    <w:p>
      <w:pPr>
        <w:spacing w:after="0"/>
        <w:ind w:left="0"/>
        <w:jc w:val="both"/>
      </w:pPr>
      <w:r>
        <w:rPr>
          <w:rFonts w:ascii="Times New Roman"/>
          <w:b w:val="false"/>
          <w:i w:val="false"/>
          <w:color w:val="000000"/>
          <w:sz w:val="28"/>
        </w:rPr>
        <w:t>
      9. Жергілікті қоғамдастық жиынына қатысу үшін аудандық маңызы бар қаланың, ауылдың, кенттің, ауылдық округтің көше, көппәтерлі тұрғын үй тұрғындары өкілдерінің кандидатураларын ауданның (облыстық маңызы бар қаланың) мәслихаты бекіткен сандық құрамға сәйкес жергілікті қоғамдастықтың бөлек жиынының қатысушылары ұсынады.</w:t>
      </w:r>
    </w:p>
    <w:bookmarkEnd w:id="15"/>
    <w:bookmarkStart w:name="z18"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9" w:id="17"/>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аудандық маңызы бар қала, ауыл, кент және ауылдық округ әкімінің аппаратына береді.</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аудандық мәслихатының</w:t>
            </w:r>
            <w:r>
              <w:br/>
            </w:r>
            <w:r>
              <w:rPr>
                <w:rFonts w:ascii="Times New Roman"/>
                <w:b w:val="false"/>
                <w:i w:val="false"/>
                <w:color w:val="000000"/>
                <w:sz w:val="20"/>
              </w:rPr>
              <w:t>2024 жылғы 2 ақпандағы</w:t>
            </w:r>
            <w:r>
              <w:br/>
            </w:r>
            <w:r>
              <w:rPr>
                <w:rFonts w:ascii="Times New Roman"/>
                <w:b w:val="false"/>
                <w:i w:val="false"/>
                <w:color w:val="000000"/>
                <w:sz w:val="20"/>
              </w:rPr>
              <w:t>№116 шешіміне 2-қосымша</w:t>
            </w:r>
          </w:p>
        </w:tc>
      </w:tr>
    </w:tbl>
    <w:p>
      <w:pPr>
        <w:spacing w:after="0"/>
        <w:ind w:left="0"/>
        <w:jc w:val="left"/>
      </w:pPr>
      <w:r>
        <w:rPr>
          <w:rFonts w:ascii="Times New Roman"/>
          <w:b/>
          <w:i w:val="false"/>
          <w:color w:val="000000"/>
        </w:rPr>
        <w:t xml:space="preserve"> Сауран ауданының құрамындағы ауылдық округтерінің жергілікті қоғамдастық жиынына қатысу үшін аудан құрамындағы 12 ауылдық округтерінің тұрғындары өкілдерінің сандық құрамы Ескі Иқан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Иқан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Мәшһүр Жүсіп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i w:val="false"/>
          <w:color w:val="000000"/>
        </w:rPr>
        <w:t xml:space="preserve"> Жаңа Иқан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i w:val="false"/>
          <w:color w:val="000000"/>
        </w:rPr>
        <w:t xml:space="preserve"> Шаға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30 жылдығы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Бершін 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rPr>
          <w:rFonts w:ascii="Times New Roman"/>
          <w:b/>
          <w:i w:val="false"/>
          <w:color w:val="000000"/>
        </w:rPr>
        <w:t xml:space="preserve"> Ораңғай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Қосқорған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rPr>
          <w:rFonts w:ascii="Times New Roman"/>
          <w:b/>
          <w:i w:val="false"/>
          <w:color w:val="000000"/>
        </w:rPr>
        <w:t xml:space="preserve"> Иассы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Енбекші-Дихан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Шойтөбе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i w:val="false"/>
          <w:color w:val="000000"/>
        </w:rPr>
        <w:t xml:space="preserve"> Жүйнек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Шекербұлақ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rPr>
          <w:rFonts w:ascii="Times New Roman"/>
          <w:b/>
          <w:i w:val="false"/>
          <w:color w:val="000000"/>
        </w:rPr>
        <w:t xml:space="preserve"> Қарашық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Құмтүйін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rPr>
          <w:rFonts w:ascii="Times New Roman"/>
          <w:b/>
          <w:i w:val="false"/>
          <w:color w:val="000000"/>
        </w:rPr>
        <w:t xml:space="preserve"> Бабайқорған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Бабайқорған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Құмайлықас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i w:val="false"/>
          <w:color w:val="000000"/>
        </w:rPr>
        <w:t xml:space="preserve"> Майдантал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Егізқара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i w:val="false"/>
          <w:color w:val="000000"/>
        </w:rPr>
        <w:t xml:space="preserve"> Жібек жолы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Сауран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rPr>
          <w:rFonts w:ascii="Times New Roman"/>
          <w:b/>
          <w:i w:val="false"/>
          <w:color w:val="000000"/>
        </w:rPr>
        <w:t xml:space="preserve"> Шорнақ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Қосмезгіл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rPr>
          <w:rFonts w:ascii="Times New Roman"/>
          <w:b/>
          <w:i w:val="false"/>
          <w:color w:val="000000"/>
        </w:rPr>
        <w:t xml:space="preserve"> Үшқайық ауылдық округі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Қожанов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Жалаңтөс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