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8f9f" w14:textId="9fc8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жылғы Еуразиялық экономикалық одаққа мүше мемлекеттердің бюджеттері арасында кедендік әкелу баждарының сомаларын есепке жатқызу және бөлу туралы</w:t>
      </w:r>
    </w:p>
    <w:p>
      <w:pPr>
        <w:spacing w:after="0"/>
        <w:ind w:left="0"/>
        <w:jc w:val="both"/>
      </w:pPr>
      <w:r>
        <w:rPr>
          <w:rFonts w:ascii="Times New Roman"/>
          <w:b w:val="false"/>
          <w:i w:val="false"/>
          <w:color w:val="000000"/>
          <w:sz w:val="28"/>
        </w:rPr>
        <w:t>Еуразиялық Үкіметаралық Кеңестің 2020 жылғы 9 қазандағы № 20 Өкімі</w:t>
      </w:r>
    </w:p>
    <w:p>
      <w:pPr>
        <w:spacing w:after="0"/>
        <w:ind w:left="0"/>
        <w:jc w:val="both"/>
      </w:pPr>
      <w:bookmarkStart w:name="z1" w:id="0"/>
      <w:r>
        <w:rPr>
          <w:rFonts w:ascii="Times New Roman"/>
          <w:b w:val="false"/>
          <w:i w:val="false"/>
          <w:color w:val="000000"/>
          <w:sz w:val="28"/>
        </w:rPr>
        <w:t>
      Еуразиялық экономикалық комиссия туралы ереженің (2014 жылғы 29 мамырдағы Еуразиялық  экономикалық одақ туралы шартқа № 1 қосымша) 43-тармағы 4-тармақшасының  және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54-тармағының негізінде және Еуразиялық экономикалық комиссияның 2019 жылғы Еуразиялық экономикалық одаққа мүше мемлекеттердің бюджеттері арасында кедендік әкелу баждарының  сомаларын  есепке жатқызу және бөлу туралы ақпаратын назарға ала отырып:</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 (2014 жылғы 29 мамырдағы Еуразиялық экономикалық одақ туралы шартқа № 5 қосымша) іске асыру мониторингі бойынша жұмысты жалғастырсын.</w:t>
      </w:r>
    </w:p>
    <w:bookmarkEnd w:id="1"/>
    <w:bookmarkStart w:name="z3"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