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b060" w14:textId="9a5b0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мақсаттағы, оның ішінде кіріктірілген не басқа тауарлар құрамына кіретін радиоэлектрондық құралдар мен жоғары жиілікті құрылғыларды Еуразиялық экономикалық одақтың кедендік аумағына әкелу туралы ережеге № 2 қосымшаның 21–тармағына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2 тамыздағы № 111 шешімі</w:t>
      </w:r>
    </w:p>
    <w:p>
      <w:pPr>
        <w:spacing w:after="0"/>
        <w:ind w:left="0"/>
        <w:jc w:val="both"/>
      </w:pPr>
      <w:r>
        <w:rPr>
          <w:rFonts w:ascii="Times New Roman"/>
          <w:b w:val="false"/>
          <w:i w:val="false"/>
          <w:color w:val="000000"/>
          <w:sz w:val="28"/>
        </w:rPr>
        <w:t xml:space="preserve">
      Үшінші елдерге қатысты тарифтік емес реттеу шаралары туралы хаттаманың (2014 жылғы 29 мамырдағы Еуразиялық экономикалық одақ туралы шартқа № 7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37-тармақтарына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Азаматтық мақсаттағы, оның ішінде кіріктірілген не басқа тауарлар құрамына кіретін радиоэлектрондық құралдар мен жоғары жиілікті құрылғыларды Еуразиялық экономикалық одақтың кедендік аумағына әкелу туралы ережеге (Еуразиялық экономикалық комиссия Алқасының 2015 жылғы 21 сәуірдегі № 30 </w:t>
      </w:r>
      <w:r>
        <w:rPr>
          <w:rFonts w:ascii="Times New Roman"/>
          <w:b w:val="false"/>
          <w:i w:val="false"/>
          <w:color w:val="000000"/>
          <w:sz w:val="28"/>
        </w:rPr>
        <w:t>шешіміне</w:t>
      </w:r>
      <w:r>
        <w:rPr>
          <w:rFonts w:ascii="Times New Roman"/>
          <w:b w:val="false"/>
          <w:i w:val="false"/>
          <w:color w:val="000000"/>
          <w:sz w:val="28"/>
        </w:rPr>
        <w:t xml:space="preserve"> № 15 қосымша) № 2 қосымшаның 2</w:t>
      </w:r>
      <w:r>
        <w:rPr>
          <w:rFonts w:ascii="Times New Roman"/>
          <w:b w:val="false"/>
          <w:i w:val="false"/>
          <w:color w:val="000000"/>
          <w:vertAlign w:val="superscript"/>
        </w:rPr>
        <w:t>1</w:t>
      </w:r>
      <w:r>
        <w:rPr>
          <w:rFonts w:ascii="Times New Roman"/>
          <w:b w:val="false"/>
          <w:i w:val="false"/>
          <w:color w:val="000000"/>
          <w:sz w:val="28"/>
        </w:rPr>
        <w:t xml:space="preserve"> –тармағына мынадай өзгерістер енгізілсін:</w:t>
      </w:r>
    </w:p>
    <w:p>
      <w:pPr>
        <w:spacing w:after="0"/>
        <w:ind w:left="0"/>
        <w:jc w:val="both"/>
      </w:pPr>
      <w:r>
        <w:rPr>
          <w:rFonts w:ascii="Times New Roman"/>
          <w:b w:val="false"/>
          <w:i w:val="false"/>
          <w:color w:val="000000"/>
          <w:sz w:val="28"/>
        </w:rPr>
        <w:t>
      а) алтыншы абзацтан кейін мынадай мазмұндағы абзацпен толықтырылсын:</w:t>
      </w:r>
    </w:p>
    <w:p>
      <w:pPr>
        <w:spacing w:after="0"/>
        <w:ind w:left="0"/>
        <w:jc w:val="both"/>
      </w:pPr>
      <w:r>
        <w:rPr>
          <w:rFonts w:ascii="Times New Roman"/>
          <w:b w:val="false"/>
          <w:i w:val="false"/>
          <w:color w:val="000000"/>
          <w:sz w:val="28"/>
        </w:rPr>
        <w:t>
      "123,2 МГц +/– 0,32 % немесе 122,8 – 123,59 МГц;";</w:t>
      </w:r>
    </w:p>
    <w:p>
      <w:pPr>
        <w:spacing w:after="0"/>
        <w:ind w:left="0"/>
        <w:jc w:val="both"/>
      </w:pPr>
      <w:r>
        <w:rPr>
          <w:rFonts w:ascii="Times New Roman"/>
          <w:b w:val="false"/>
          <w:i w:val="false"/>
          <w:color w:val="000000"/>
          <w:sz w:val="28"/>
        </w:rPr>
        <w:t xml:space="preserve">
      б) мынадай мазмұндағы абзацпен толықтырылсын: </w:t>
      </w:r>
    </w:p>
    <w:p>
      <w:pPr>
        <w:spacing w:after="0"/>
        <w:ind w:left="0"/>
        <w:jc w:val="both"/>
      </w:pPr>
      <w:r>
        <w:rPr>
          <w:rFonts w:ascii="Times New Roman"/>
          <w:b w:val="false"/>
          <w:i w:val="false"/>
          <w:color w:val="000000"/>
          <w:sz w:val="28"/>
        </w:rPr>
        <w:t>
      "298 МГц + 2,35 %/– 11,08 % немесе 264,98 – 305 МГц.".</w:t>
      </w:r>
    </w:p>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