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9321" w14:textId="21b9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2030 жылға дейінгі құқықтық саясат тұжырымдамасын іске асыру жөніндегі іс-қимыл жоспарын бекіту туралы" Қазақстан Республикасы Үкіметінің 2022 жылғы 29 сәуірдегі № 264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28 қарашадағы № 1010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2030 жылға дейінгі құқықтық саясат тұжырымдамасын іске асыру жөніндегі іс-қимыл жоспарын бекіту туралы" Қазақстан Республикасы Үкіметінің 2022 жылғы 29 сәуірдегі № 264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2030 жылға дейінгі құқықтық саясат тұжырымдамасын іске асыру жөніндегі іс-қимыл </w:t>
      </w:r>
      <w:r>
        <w:rPr>
          <w:rFonts w:ascii="Times New Roman"/>
          <w:b w:val="false"/>
          <w:i w:val="false"/>
          <w:color w:val="000000"/>
          <w:sz w:val="28"/>
        </w:rPr>
        <w:t>жоспарында:</w:t>
      </w:r>
    </w:p>
    <w:bookmarkEnd w:id="2"/>
    <w:bookmarkStart w:name="z4" w:id="3"/>
    <w:p>
      <w:pPr>
        <w:spacing w:after="0"/>
        <w:ind w:left="0"/>
        <w:jc w:val="both"/>
      </w:pPr>
      <w:r>
        <w:rPr>
          <w:rFonts w:ascii="Times New Roman"/>
          <w:b w:val="false"/>
          <w:i w:val="false"/>
          <w:color w:val="000000"/>
          <w:sz w:val="28"/>
        </w:rPr>
        <w:t>
      реттік нөмірі 16-жол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бұзушылықтардың қазіргі құрамдарына арнайы құқықтан айыру, рұқсаттан айыру не оның қолданысын тоқтата тұру түріндегі санкцияны, сондай-ақ қызметті тоқтата тұруды немесе оған тыйым салуды тізілімнен алып тастауды көздейтін әкімшілік құқық бұзушылықтар құрамдарын салалық нормативтік құқықтық актілерге ауыстыру мүмкіндігі тұрғысынан талдау жүргізу, себебі көрсетілген санкциялар әкімшілік рәсімді жүзеге асырумен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"Атамекен" ҰКП (келісу бойынша), мүдделі мемлекеттік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мүмкіндіктерді қарау:</w:t>
            </w:r>
          </w:p>
          <w:p>
            <w:pPr>
              <w:spacing w:after="20"/>
              <w:ind w:left="20"/>
              <w:jc w:val="both"/>
            </w:pPr>
            <w:r>
              <w:rPr>
                <w:rFonts w:ascii="Times New Roman"/>
                <w:b w:val="false"/>
                <w:i w:val="false"/>
                <w:color w:val="000000"/>
                <w:sz w:val="20"/>
              </w:rPr>
              <w:t>
1) әкімшілік құқық бұзушылықтардың әрқайсысында құқық бұзушылықтың қоғамдық қауіптілігінің сипаты мен дәрежесіне қарай айыппұлдың шекті мөлшері болатын болмашы, елеулі және өрескел құқық бұзушылықтар санаттарына градация енгізу;</w:t>
            </w:r>
          </w:p>
          <w:p>
            <w:pPr>
              <w:spacing w:after="20"/>
              <w:ind w:left="20"/>
              <w:jc w:val="both"/>
            </w:pPr>
            <w:r>
              <w:rPr>
                <w:rFonts w:ascii="Times New Roman"/>
                <w:b w:val="false"/>
                <w:i w:val="false"/>
                <w:color w:val="000000"/>
                <w:sz w:val="20"/>
              </w:rPr>
              <w:t>
2) нормативтік құқықтық актілердің нақтыланбаған талаптары үшін санкцияларды қамтитын әкімшілік құқық бұзушылықтар құрамын алып тастау, уәкілетті органдардың позицияларын ескере отырып, диспозицияларды түзету;</w:t>
            </w:r>
          </w:p>
          <w:p>
            <w:pPr>
              <w:spacing w:after="20"/>
              <w:ind w:left="20"/>
              <w:jc w:val="both"/>
            </w:pPr>
            <w:r>
              <w:rPr>
                <w:rFonts w:ascii="Times New Roman"/>
                <w:b w:val="false"/>
                <w:i w:val="false"/>
                <w:color w:val="000000"/>
                <w:sz w:val="20"/>
              </w:rPr>
              <w:t>
3) кәсіпкерлік субъектілерінің санатына қарай айыппұл мөлшерін айқындау кезінде бірыңғай тәсілді қалыптастыру (сондай-ақ мемлекеттік бюджеттен қаржыландырылатын ұйымдардың лауазымды адамдарының жауапкершілігін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талдау қорытындылары бойынша әкімшілік жауаптылықты құқықтық жауаптылықтың басқа түрлерінен ажыратуға мүмкіндік беретін айқын өлшемшарттарды қамтитын әкімшілік құқық бұзушылықтың жаңа ұғымын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